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798" w:rsidRDefault="006F6798" w:rsidP="006F6798">
      <w:pPr>
        <w:tabs>
          <w:tab w:val="left" w:pos="3852"/>
          <w:tab w:val="center" w:pos="4680"/>
        </w:tabs>
        <w:spacing w:line="480" w:lineRule="auto"/>
        <w:rPr>
          <w:rFonts w:ascii="Times New Roman" w:hAnsi="Times New Roman" w:cs="Times New Roman"/>
          <w:sz w:val="24"/>
          <w:szCs w:val="24"/>
        </w:rPr>
      </w:pPr>
      <w:r w:rsidRPr="00BA1E70">
        <w:rPr>
          <w:rFonts w:ascii="Times New Roman" w:hAnsi="Times New Roman" w:cs="Times New Roman"/>
          <w:sz w:val="24"/>
          <w:szCs w:val="24"/>
        </w:rPr>
        <w:t>Picot statement</w:t>
      </w:r>
    </w:p>
    <w:p w:rsidR="006F6798" w:rsidRPr="00BA1E70" w:rsidRDefault="006F6798" w:rsidP="006F6798">
      <w:pPr>
        <w:tabs>
          <w:tab w:val="left" w:pos="3852"/>
          <w:tab w:val="center" w:pos="4680"/>
        </w:tabs>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Olabisi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Babalola</w:t>
      </w:r>
      <w:proofErr w:type="spellEnd"/>
    </w:p>
    <w:p w:rsidR="006F6798" w:rsidRPr="00BA1E70" w:rsidRDefault="006F6798" w:rsidP="006F6798">
      <w:pPr>
        <w:spacing w:line="480" w:lineRule="auto"/>
        <w:jc w:val="center"/>
        <w:rPr>
          <w:rFonts w:ascii="Times New Roman" w:hAnsi="Times New Roman" w:cs="Times New Roman"/>
          <w:sz w:val="24"/>
          <w:szCs w:val="24"/>
        </w:rPr>
      </w:pPr>
      <w:r w:rsidRPr="00BA1E70">
        <w:rPr>
          <w:rFonts w:ascii="Times New Roman" w:hAnsi="Times New Roman" w:cs="Times New Roman"/>
          <w:sz w:val="24"/>
          <w:szCs w:val="24"/>
        </w:rPr>
        <w:t>Grand Canyon University NRS-433V Introduction to Nursing Research</w:t>
      </w:r>
    </w:p>
    <w:p w:rsidR="006F6798" w:rsidRPr="00BA1E70" w:rsidRDefault="006F6798" w:rsidP="006F6798">
      <w:pPr>
        <w:spacing w:line="480" w:lineRule="auto"/>
        <w:jc w:val="center"/>
        <w:rPr>
          <w:rFonts w:ascii="Times New Roman" w:hAnsi="Times New Roman" w:cs="Times New Roman"/>
          <w:sz w:val="24"/>
          <w:szCs w:val="24"/>
        </w:rPr>
      </w:pPr>
      <w:r>
        <w:rPr>
          <w:rFonts w:ascii="Times New Roman" w:hAnsi="Times New Roman" w:cs="Times New Roman"/>
          <w:sz w:val="24"/>
          <w:szCs w:val="24"/>
        </w:rPr>
        <w:t>July 30th</w:t>
      </w:r>
      <w:r w:rsidRPr="00BA1E70">
        <w:rPr>
          <w:rFonts w:ascii="Times New Roman" w:hAnsi="Times New Roman" w:cs="Times New Roman"/>
          <w:sz w:val="24"/>
          <w:szCs w:val="24"/>
        </w:rPr>
        <w:t>, 2017</w:t>
      </w:r>
    </w:p>
    <w:p w:rsidR="006F6798" w:rsidRDefault="006F6798" w:rsidP="006F6798">
      <w:pPr>
        <w:spacing w:line="480" w:lineRule="auto"/>
        <w:jc w:val="center"/>
        <w:rPr>
          <w:rFonts w:ascii="Times New Roman" w:hAnsi="Times New Roman" w:cs="Times New Roman"/>
          <w:sz w:val="24"/>
          <w:szCs w:val="24"/>
        </w:rPr>
      </w:pPr>
    </w:p>
    <w:p w:rsidR="006F6798" w:rsidRDefault="006F6798" w:rsidP="006F6798">
      <w:pPr>
        <w:spacing w:line="480" w:lineRule="auto"/>
        <w:jc w:val="center"/>
        <w:rPr>
          <w:rFonts w:ascii="Times New Roman" w:hAnsi="Times New Roman" w:cs="Times New Roman"/>
          <w:sz w:val="24"/>
          <w:szCs w:val="24"/>
        </w:rPr>
      </w:pPr>
    </w:p>
    <w:p w:rsidR="006F6798" w:rsidRDefault="006F6798" w:rsidP="006F6798">
      <w:pPr>
        <w:spacing w:line="480" w:lineRule="auto"/>
        <w:jc w:val="center"/>
        <w:rPr>
          <w:rFonts w:ascii="Times New Roman" w:hAnsi="Times New Roman" w:cs="Times New Roman"/>
          <w:sz w:val="24"/>
          <w:szCs w:val="24"/>
        </w:rPr>
      </w:pPr>
    </w:p>
    <w:p w:rsidR="006F6798" w:rsidRDefault="006F6798" w:rsidP="006F6798">
      <w:pPr>
        <w:spacing w:line="480" w:lineRule="auto"/>
        <w:jc w:val="center"/>
        <w:rPr>
          <w:rFonts w:ascii="Times New Roman" w:hAnsi="Times New Roman" w:cs="Times New Roman"/>
          <w:sz w:val="24"/>
          <w:szCs w:val="24"/>
        </w:rPr>
      </w:pPr>
    </w:p>
    <w:p w:rsidR="006F6798" w:rsidRDefault="006F6798" w:rsidP="006F6798">
      <w:pPr>
        <w:spacing w:line="480" w:lineRule="auto"/>
        <w:jc w:val="center"/>
        <w:rPr>
          <w:rFonts w:ascii="Times New Roman" w:hAnsi="Times New Roman" w:cs="Times New Roman"/>
          <w:sz w:val="24"/>
          <w:szCs w:val="24"/>
        </w:rPr>
      </w:pPr>
    </w:p>
    <w:p w:rsidR="006F6798" w:rsidRDefault="006F6798" w:rsidP="006F6798">
      <w:pPr>
        <w:spacing w:line="480" w:lineRule="auto"/>
        <w:jc w:val="center"/>
        <w:rPr>
          <w:rFonts w:ascii="Times New Roman" w:hAnsi="Times New Roman" w:cs="Times New Roman"/>
          <w:sz w:val="24"/>
          <w:szCs w:val="24"/>
        </w:rPr>
      </w:pPr>
    </w:p>
    <w:p w:rsidR="006F6798" w:rsidRDefault="006F6798" w:rsidP="006F6798">
      <w:pPr>
        <w:spacing w:line="480" w:lineRule="auto"/>
        <w:jc w:val="center"/>
        <w:rPr>
          <w:rFonts w:ascii="Times New Roman" w:hAnsi="Times New Roman" w:cs="Times New Roman"/>
          <w:sz w:val="24"/>
          <w:szCs w:val="24"/>
        </w:rPr>
      </w:pPr>
    </w:p>
    <w:p w:rsidR="006F6798" w:rsidRPr="00417A53" w:rsidRDefault="006F6798" w:rsidP="006F6798">
      <w:pPr>
        <w:spacing w:line="480" w:lineRule="auto"/>
        <w:jc w:val="center"/>
        <w:rPr>
          <w:rFonts w:ascii="Times New Roman" w:hAnsi="Times New Roman" w:cs="Times New Roman"/>
          <w:b/>
          <w:sz w:val="24"/>
          <w:szCs w:val="24"/>
          <w:u w:val="single"/>
        </w:rPr>
      </w:pPr>
      <w:r w:rsidRPr="00417A53">
        <w:rPr>
          <w:rFonts w:ascii="Times New Roman" w:hAnsi="Times New Roman" w:cs="Times New Roman"/>
          <w:b/>
          <w:sz w:val="24"/>
          <w:szCs w:val="24"/>
          <w:u w:val="single"/>
        </w:rPr>
        <w:t>Introduction</w:t>
      </w:r>
    </w:p>
    <w:p w:rsidR="006F6798" w:rsidRDefault="006F6798" w:rsidP="006F6798">
      <w:pPr>
        <w:spacing w:line="480" w:lineRule="auto"/>
        <w:rPr>
          <w:rFonts w:ascii="Times New Roman" w:hAnsi="Times New Roman" w:cs="Times New Roman"/>
          <w:sz w:val="24"/>
          <w:szCs w:val="24"/>
        </w:rPr>
      </w:pPr>
      <w:r>
        <w:rPr>
          <w:rFonts w:ascii="Times New Roman" w:hAnsi="Times New Roman" w:cs="Times New Roman"/>
          <w:sz w:val="24"/>
          <w:szCs w:val="24"/>
        </w:rPr>
        <w:tab/>
        <w:t>Despite the amount of documentation done on patient education, working in a medical/surgical unit, patient still seem unaware of why they are in the hospital, unaware of their medication and of their disease process</w:t>
      </w:r>
    </w:p>
    <w:p w:rsidR="006F6798" w:rsidRDefault="006F6798" w:rsidP="006F6798">
      <w:pPr>
        <w:spacing w:line="480" w:lineRule="auto"/>
        <w:rPr>
          <w:rFonts w:ascii="Times New Roman" w:hAnsi="Times New Roman" w:cs="Times New Roman"/>
          <w:sz w:val="24"/>
          <w:szCs w:val="24"/>
        </w:rPr>
      </w:pPr>
      <w:r>
        <w:rPr>
          <w:rFonts w:ascii="Times New Roman" w:hAnsi="Times New Roman" w:cs="Times New Roman"/>
          <w:sz w:val="24"/>
          <w:szCs w:val="24"/>
        </w:rPr>
        <w:t xml:space="preserve">How can we ensure effective, measurable patient education of patients in the acute care </w:t>
      </w:r>
      <w:proofErr w:type="gramStart"/>
      <w:r>
        <w:rPr>
          <w:rFonts w:ascii="Times New Roman" w:hAnsi="Times New Roman" w:cs="Times New Roman"/>
          <w:sz w:val="24"/>
          <w:szCs w:val="24"/>
        </w:rPr>
        <w:t>setting.</w:t>
      </w:r>
      <w:proofErr w:type="gramEnd"/>
      <w:r>
        <w:rPr>
          <w:rFonts w:ascii="Times New Roman" w:hAnsi="Times New Roman" w:cs="Times New Roman"/>
          <w:sz w:val="24"/>
          <w:szCs w:val="24"/>
        </w:rPr>
        <w:t xml:space="preserve"> </w:t>
      </w:r>
    </w:p>
    <w:p w:rsidR="006F6798" w:rsidRPr="00417A53" w:rsidRDefault="006F6798" w:rsidP="006F6798">
      <w:pPr>
        <w:spacing w:line="480" w:lineRule="auto"/>
        <w:jc w:val="center"/>
        <w:rPr>
          <w:rFonts w:ascii="Times New Roman" w:hAnsi="Times New Roman" w:cs="Times New Roman"/>
          <w:b/>
          <w:sz w:val="24"/>
          <w:szCs w:val="24"/>
          <w:u w:val="single"/>
        </w:rPr>
      </w:pPr>
      <w:r w:rsidRPr="00417A53">
        <w:rPr>
          <w:rFonts w:ascii="Times New Roman" w:hAnsi="Times New Roman" w:cs="Times New Roman"/>
          <w:b/>
          <w:sz w:val="24"/>
          <w:szCs w:val="24"/>
          <w:u w:val="single"/>
        </w:rPr>
        <w:t>Picot Question</w:t>
      </w:r>
      <w:r>
        <w:rPr>
          <w:rFonts w:ascii="Times New Roman" w:hAnsi="Times New Roman" w:cs="Times New Roman"/>
          <w:b/>
          <w:sz w:val="24"/>
          <w:szCs w:val="24"/>
          <w:u w:val="single"/>
        </w:rPr>
        <w:t xml:space="preserve"> </w:t>
      </w:r>
    </w:p>
    <w:p w:rsidR="006F6798" w:rsidRDefault="006F6798" w:rsidP="006F6798">
      <w:pPr>
        <w:spacing w:line="480" w:lineRule="auto"/>
        <w:rPr>
          <w:rFonts w:ascii="Times New Roman" w:hAnsi="Times New Roman" w:cs="Times New Roman"/>
          <w:sz w:val="24"/>
          <w:szCs w:val="24"/>
        </w:rPr>
      </w:pPr>
      <w:r w:rsidRPr="00284224">
        <w:rPr>
          <w:rFonts w:ascii="Times New Roman" w:hAnsi="Times New Roman" w:cs="Times New Roman"/>
          <w:sz w:val="24"/>
          <w:szCs w:val="24"/>
          <w:u w:val="single"/>
        </w:rPr>
        <w:t>Population</w:t>
      </w:r>
      <w:r>
        <w:rPr>
          <w:rFonts w:ascii="Times New Roman" w:hAnsi="Times New Roman" w:cs="Times New Roman"/>
          <w:sz w:val="24"/>
          <w:szCs w:val="24"/>
        </w:rPr>
        <w:t>: Adult patients on the medical/surgical floor</w:t>
      </w:r>
    </w:p>
    <w:p w:rsidR="006F6798" w:rsidRDefault="006F6798" w:rsidP="006F6798">
      <w:pPr>
        <w:spacing w:line="480" w:lineRule="auto"/>
        <w:rPr>
          <w:rFonts w:ascii="Times New Roman" w:hAnsi="Times New Roman" w:cs="Times New Roman"/>
          <w:sz w:val="24"/>
          <w:szCs w:val="24"/>
        </w:rPr>
      </w:pPr>
      <w:r w:rsidRPr="00284224">
        <w:rPr>
          <w:rFonts w:ascii="Times New Roman" w:hAnsi="Times New Roman" w:cs="Times New Roman"/>
          <w:sz w:val="24"/>
          <w:szCs w:val="24"/>
          <w:u w:val="single"/>
        </w:rPr>
        <w:lastRenderedPageBreak/>
        <w:t>Intervention</w:t>
      </w:r>
      <w:r w:rsidRPr="002A6633">
        <w:rPr>
          <w:rFonts w:ascii="Times New Roman" w:hAnsi="Times New Roman" w:cs="Times New Roman"/>
          <w:sz w:val="24"/>
          <w:szCs w:val="24"/>
        </w:rPr>
        <w:t xml:space="preserve">: </w:t>
      </w:r>
      <w:r>
        <w:rPr>
          <w:rFonts w:ascii="Times New Roman" w:hAnsi="Times New Roman" w:cs="Times New Roman"/>
          <w:sz w:val="24"/>
          <w:szCs w:val="24"/>
        </w:rPr>
        <w:t>Develop a questionnaire with open ended questions on what patients have learnt about their present diagnoses and medication before discharge.</w:t>
      </w:r>
    </w:p>
    <w:p w:rsidR="006F6798" w:rsidRPr="002A6633" w:rsidRDefault="006F6798" w:rsidP="006F6798">
      <w:pPr>
        <w:spacing w:line="480" w:lineRule="auto"/>
        <w:rPr>
          <w:rFonts w:ascii="Times New Roman" w:hAnsi="Times New Roman" w:cs="Times New Roman"/>
          <w:sz w:val="24"/>
          <w:szCs w:val="24"/>
        </w:rPr>
      </w:pPr>
      <w:r w:rsidRPr="00284224">
        <w:rPr>
          <w:rFonts w:ascii="Times New Roman" w:hAnsi="Times New Roman" w:cs="Times New Roman"/>
          <w:sz w:val="24"/>
          <w:szCs w:val="24"/>
          <w:u w:val="single"/>
        </w:rPr>
        <w:t>Outcome</w:t>
      </w:r>
      <w:r w:rsidRPr="002A6633">
        <w:rPr>
          <w:rFonts w:ascii="Times New Roman" w:hAnsi="Times New Roman" w:cs="Times New Roman"/>
          <w:sz w:val="24"/>
          <w:szCs w:val="24"/>
        </w:rPr>
        <w:t xml:space="preserve">: </w:t>
      </w:r>
      <w:r>
        <w:rPr>
          <w:rFonts w:ascii="Times New Roman" w:hAnsi="Times New Roman" w:cs="Times New Roman"/>
          <w:sz w:val="24"/>
          <w:szCs w:val="24"/>
        </w:rPr>
        <w:t xml:space="preserve">Data collected on questionnaire will give </w:t>
      </w:r>
      <w:proofErr w:type="gramStart"/>
      <w:r>
        <w:rPr>
          <w:rFonts w:ascii="Times New Roman" w:hAnsi="Times New Roman" w:cs="Times New Roman"/>
          <w:sz w:val="24"/>
          <w:szCs w:val="24"/>
        </w:rPr>
        <w:t>insight  into</w:t>
      </w:r>
      <w:proofErr w:type="gramEnd"/>
      <w:r>
        <w:rPr>
          <w:rFonts w:ascii="Times New Roman" w:hAnsi="Times New Roman" w:cs="Times New Roman"/>
          <w:sz w:val="24"/>
          <w:szCs w:val="24"/>
        </w:rPr>
        <w:t xml:space="preserve"> the effectiveness of present method of patient education and if not effective, developing new or improve the present method of  patient education. </w:t>
      </w:r>
    </w:p>
    <w:p w:rsidR="006F6798" w:rsidRPr="002A6633" w:rsidRDefault="006F6798" w:rsidP="006F6798">
      <w:pPr>
        <w:spacing w:line="480" w:lineRule="auto"/>
        <w:rPr>
          <w:rFonts w:ascii="Times New Roman" w:hAnsi="Times New Roman" w:cs="Times New Roman"/>
          <w:sz w:val="24"/>
          <w:szCs w:val="24"/>
        </w:rPr>
      </w:pPr>
      <w:r w:rsidRPr="00284224">
        <w:rPr>
          <w:rFonts w:ascii="Times New Roman" w:hAnsi="Times New Roman" w:cs="Times New Roman"/>
          <w:sz w:val="24"/>
          <w:szCs w:val="24"/>
          <w:u w:val="single"/>
        </w:rPr>
        <w:t>Time</w:t>
      </w:r>
      <w:r w:rsidRPr="002A6633">
        <w:rPr>
          <w:rFonts w:ascii="Times New Roman" w:hAnsi="Times New Roman" w:cs="Times New Roman"/>
          <w:sz w:val="24"/>
          <w:szCs w:val="24"/>
        </w:rPr>
        <w:t xml:space="preserve">: </w:t>
      </w:r>
      <w:proofErr w:type="spellStart"/>
      <w:r>
        <w:rPr>
          <w:rFonts w:ascii="Times New Roman" w:hAnsi="Times New Roman" w:cs="Times New Roman"/>
          <w:sz w:val="24"/>
          <w:szCs w:val="24"/>
        </w:rPr>
        <w:t>Questionaire</w:t>
      </w:r>
      <w:proofErr w:type="spellEnd"/>
      <w:r>
        <w:rPr>
          <w:rFonts w:ascii="Times New Roman" w:hAnsi="Times New Roman" w:cs="Times New Roman"/>
          <w:sz w:val="24"/>
          <w:szCs w:val="24"/>
        </w:rPr>
        <w:t xml:space="preserve"> given to </w:t>
      </w:r>
      <w:proofErr w:type="gramStart"/>
      <w:r>
        <w:rPr>
          <w:rFonts w:ascii="Times New Roman" w:hAnsi="Times New Roman" w:cs="Times New Roman"/>
          <w:sz w:val="24"/>
          <w:szCs w:val="24"/>
        </w:rPr>
        <w:t>patients</w:t>
      </w:r>
      <w:proofErr w:type="gramEnd"/>
      <w:r>
        <w:rPr>
          <w:rFonts w:ascii="Times New Roman" w:hAnsi="Times New Roman" w:cs="Times New Roman"/>
          <w:sz w:val="24"/>
          <w:szCs w:val="24"/>
        </w:rPr>
        <w:t xml:space="preserve"> day before discharge.</w:t>
      </w:r>
    </w:p>
    <w:p w:rsidR="006F6798" w:rsidRDefault="006F6798" w:rsidP="006F6798">
      <w:pPr>
        <w:spacing w:line="480" w:lineRule="auto"/>
        <w:rPr>
          <w:rFonts w:ascii="Times New Roman" w:hAnsi="Times New Roman" w:cs="Times New Roman"/>
          <w:sz w:val="24"/>
          <w:szCs w:val="24"/>
        </w:rPr>
      </w:pPr>
      <w:r w:rsidRPr="005F7DE9">
        <w:rPr>
          <w:rFonts w:ascii="Times New Roman" w:hAnsi="Times New Roman" w:cs="Times New Roman"/>
          <w:sz w:val="24"/>
          <w:szCs w:val="24"/>
          <w:u w:val="single"/>
        </w:rPr>
        <w:t>PICOT Question</w:t>
      </w:r>
      <w:r w:rsidRPr="00CB197E">
        <w:rPr>
          <w:rFonts w:ascii="Times New Roman" w:hAnsi="Times New Roman" w:cs="Times New Roman"/>
          <w:sz w:val="24"/>
          <w:szCs w:val="24"/>
        </w:rPr>
        <w:t>: Disparity between nursing documentation and patient knowledge</w:t>
      </w:r>
      <w:r>
        <w:rPr>
          <w:rFonts w:ascii="Times New Roman" w:hAnsi="Times New Roman" w:cs="Times New Roman"/>
          <w:b/>
          <w:sz w:val="24"/>
          <w:szCs w:val="24"/>
        </w:rPr>
        <w:t>:</w:t>
      </w:r>
      <w:r w:rsidRPr="002A6633">
        <w:rPr>
          <w:rFonts w:ascii="Times New Roman" w:hAnsi="Times New Roman" w:cs="Times New Roman"/>
          <w:sz w:val="24"/>
          <w:szCs w:val="24"/>
        </w:rPr>
        <w:t xml:space="preserve"> </w:t>
      </w:r>
      <w:r>
        <w:rPr>
          <w:rFonts w:ascii="Times New Roman" w:hAnsi="Times New Roman" w:cs="Times New Roman"/>
          <w:sz w:val="24"/>
          <w:szCs w:val="24"/>
        </w:rPr>
        <w:t>How effective is the present patient education in acute care settings.</w:t>
      </w:r>
    </w:p>
    <w:p w:rsidR="006F6798" w:rsidRPr="00417A53" w:rsidRDefault="00B37336" w:rsidP="006F6798">
      <w:pPr>
        <w:spacing w:line="480" w:lineRule="auto"/>
        <w:jc w:val="center"/>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 xml:space="preserve">References </w:t>
      </w:r>
      <w:r w:rsidR="006F6798" w:rsidRPr="00417A53">
        <w:rPr>
          <w:rFonts w:ascii="Times New Roman" w:hAnsi="Times New Roman" w:cs="Times New Roman"/>
          <w:b/>
          <w:sz w:val="24"/>
          <w:szCs w:val="24"/>
          <w:u w:val="single"/>
        </w:rPr>
        <w:t xml:space="preserve"> and</w:t>
      </w:r>
      <w:proofErr w:type="gramEnd"/>
      <w:r w:rsidR="006F6798" w:rsidRPr="00417A53">
        <w:rPr>
          <w:rFonts w:ascii="Times New Roman" w:hAnsi="Times New Roman" w:cs="Times New Roman"/>
          <w:b/>
          <w:sz w:val="24"/>
          <w:szCs w:val="24"/>
          <w:u w:val="single"/>
        </w:rPr>
        <w:t xml:space="preserve"> Abstract</w:t>
      </w:r>
    </w:p>
    <w:p w:rsidR="006D565F" w:rsidRDefault="00742FCB" w:rsidP="006F6798">
      <w:pPr>
        <w:spacing w:line="480" w:lineRule="auto"/>
      </w:pPr>
      <w:proofErr w:type="spellStart"/>
      <w:r>
        <w:t>Breimaier</w:t>
      </w:r>
      <w:proofErr w:type="spellEnd"/>
      <w:r>
        <w:t xml:space="preserve">, H. E., </w:t>
      </w:r>
      <w:proofErr w:type="spellStart"/>
      <w:r>
        <w:t>Heckemann</w:t>
      </w:r>
      <w:proofErr w:type="spellEnd"/>
      <w:r>
        <w:t xml:space="preserve">, B., </w:t>
      </w:r>
      <w:proofErr w:type="spellStart"/>
      <w:r>
        <w:t>Halfens</w:t>
      </w:r>
      <w:proofErr w:type="spellEnd"/>
      <w:r>
        <w:t xml:space="preserve">, R. G., &amp; </w:t>
      </w:r>
      <w:proofErr w:type="spellStart"/>
      <w:r>
        <w:t>Lohrmann</w:t>
      </w:r>
      <w:proofErr w:type="spellEnd"/>
      <w:r>
        <w:t xml:space="preserve">, C. (2015). The Consolidated Framework for Implementation Research (CFIR): a useful theoretical framework for guiding and evaluating a guideline implementation process in a hospital-based nursing practice. </w:t>
      </w:r>
      <w:r>
        <w:rPr>
          <w:i/>
          <w:iCs/>
        </w:rPr>
        <w:t>BMC Nursing</w:t>
      </w:r>
      <w:r>
        <w:t xml:space="preserve">, </w:t>
      </w:r>
      <w:r>
        <w:rPr>
          <w:i/>
          <w:iCs/>
        </w:rPr>
        <w:t>14</w:t>
      </w:r>
      <w:r>
        <w:t xml:space="preserve">(1), 1-9. </w:t>
      </w:r>
      <w:proofErr w:type="gramStart"/>
      <w:r>
        <w:t>doi:</w:t>
      </w:r>
      <w:proofErr w:type="gramEnd"/>
      <w:r>
        <w:t>10.1186/s12912-015-0088-4</w:t>
      </w:r>
    </w:p>
    <w:p w:rsidR="00460C3B" w:rsidRDefault="00460C3B" w:rsidP="006F6798">
      <w:pPr>
        <w:spacing w:line="480" w:lineRule="auto"/>
      </w:pPr>
      <w:r>
        <w:t xml:space="preserve">Background: Implementing clinical practice guidelines (CPGs) in healthcare settings is a complex intervention involving both independent and interdependent components. Although the Consolidated Framework for Implementation Research (CFIR) has never been evaluated in a practical context, it appeared to be a suitable theoretical framework to guide an implementation process. The aim of this study was to evaluate the comprehensiveness, applicability and usefulness of the CFIR in the implementation of a fall-prevention CPG in nursing practice to improve </w:t>
      </w:r>
      <w:r>
        <w:rPr>
          <w:rStyle w:val="Strong"/>
        </w:rPr>
        <w:t>patient</w:t>
      </w:r>
      <w:r>
        <w:t xml:space="preserve"> care in an Austrian university </w:t>
      </w:r>
      <w:r>
        <w:rPr>
          <w:rStyle w:val="Strong"/>
        </w:rPr>
        <w:t>teaching</w:t>
      </w:r>
      <w:r>
        <w:t xml:space="preserve"> hospital setting. Methods: The evaluation of the CFIR was based on (1) team-meeting minutes, (2) the main investigator's research diary, containing a record of a before-and-after, mixed-methods study design embedded in a participatory action research (PAR) approach for guideline </w:t>
      </w:r>
      <w:r>
        <w:lastRenderedPageBreak/>
        <w:t xml:space="preserve">implementation, and (3) an analysis of </w:t>
      </w:r>
      <w:r>
        <w:rPr>
          <w:rStyle w:val="Strong"/>
        </w:rPr>
        <w:t>qualitative</w:t>
      </w:r>
      <w:r>
        <w:t xml:space="preserve"> and </w:t>
      </w:r>
      <w:r>
        <w:rPr>
          <w:rStyle w:val="Strong"/>
        </w:rPr>
        <w:t>quantitative</w:t>
      </w:r>
      <w:r>
        <w:t xml:space="preserve"> data collected from graduate and assistant nurses in two Austrian university </w:t>
      </w:r>
      <w:r>
        <w:rPr>
          <w:rStyle w:val="Strong"/>
        </w:rPr>
        <w:t>teaching</w:t>
      </w:r>
      <w:r>
        <w:t xml:space="preserve"> hospital departments. The CFIR was used to </w:t>
      </w:r>
      <w:proofErr w:type="spellStart"/>
      <w:r>
        <w:t>organise</w:t>
      </w:r>
      <w:proofErr w:type="spellEnd"/>
      <w:r>
        <w:t xml:space="preserve"> data per and across time point(s) and assess their influence on the implementation process, resulting in implementation and service outcomes. Results: Overall, the CFIR could be demonstrated to be a comprehensive framework for the implementation of a guideline into a hospital-based nursing practice. However, the CFIR did not account for some crucial factors during the planning phase of an implementation process, such as consideration of stakeholder aims and wishes/needs when implementing an innovation, pre-established measures related to the intended innovation and pre-established strategies for implementing an innovation. For the CFIR constructs reflecting &amp; evaluating and engaging, a more specific definition is recommended. The framework and its supplements could easily be used by researchers, and their scope was appropriate for the complexity of a prospective CPG-implementation project. The CFIR facilitated </w:t>
      </w:r>
      <w:r>
        <w:rPr>
          <w:rStyle w:val="Strong"/>
        </w:rPr>
        <w:t>qualitative</w:t>
      </w:r>
      <w:r>
        <w:t xml:space="preserve"> data analysis and provided a structure that allowed project results to be </w:t>
      </w:r>
      <w:proofErr w:type="spellStart"/>
      <w:r>
        <w:t>organised</w:t>
      </w:r>
      <w:proofErr w:type="spellEnd"/>
      <w:r>
        <w:t xml:space="preserve"> and viewed in a broader context to explain the main findings. Conclusions: The CFIR was a valuable and helpful framework for (1) the assessment of the baseline, process and final state of the implementation process and influential factors, (2) the content analysis of </w:t>
      </w:r>
      <w:r>
        <w:rPr>
          <w:rStyle w:val="Strong"/>
        </w:rPr>
        <w:t>qualitative</w:t>
      </w:r>
      <w:r>
        <w:t xml:space="preserve"> data collected throughout the implementation process, and (3) explaining the main findings.</w:t>
      </w:r>
    </w:p>
    <w:p w:rsidR="004B3D86" w:rsidRDefault="004B3D86" w:rsidP="006F6798">
      <w:pPr>
        <w:spacing w:line="480" w:lineRule="auto"/>
      </w:pPr>
    </w:p>
    <w:p w:rsidR="003D5BB0" w:rsidRDefault="004B3D86" w:rsidP="006F6798">
      <w:pPr>
        <w:spacing w:line="480" w:lineRule="auto"/>
      </w:pPr>
      <w:r>
        <w:t xml:space="preserve">Neville, C. E., McCourt, H. J., McKinley, M. C., </w:t>
      </w:r>
      <w:proofErr w:type="spellStart"/>
      <w:r>
        <w:t>Lowis</w:t>
      </w:r>
      <w:proofErr w:type="spellEnd"/>
      <w:r>
        <w:t xml:space="preserve">, C., Barrett, S. L., </w:t>
      </w:r>
      <w:proofErr w:type="spellStart"/>
      <w:r>
        <w:t>McGuinness</w:t>
      </w:r>
      <w:proofErr w:type="spellEnd"/>
      <w:r>
        <w:t xml:space="preserve">, B., &amp; ... Woodside, J. V. (2013). Encouraging lifestyle </w:t>
      </w:r>
      <w:proofErr w:type="spellStart"/>
      <w:r>
        <w:t>behaviour</w:t>
      </w:r>
      <w:proofErr w:type="spellEnd"/>
      <w:r>
        <w:t xml:space="preserve"> change in mild cognitive impairment patients: development of appropriate educational material. </w:t>
      </w:r>
      <w:r>
        <w:rPr>
          <w:i/>
          <w:iCs/>
        </w:rPr>
        <w:t>Aging &amp; Mental Health</w:t>
      </w:r>
      <w:r>
        <w:t xml:space="preserve">, </w:t>
      </w:r>
      <w:r>
        <w:rPr>
          <w:i/>
          <w:iCs/>
        </w:rPr>
        <w:t>17</w:t>
      </w:r>
      <w:r>
        <w:t>(3), 276-286. doi:10.1080/13607863.2013.768210</w:t>
      </w:r>
    </w:p>
    <w:p w:rsidR="003D5BB0" w:rsidRPr="003D5BB0" w:rsidRDefault="003D5BB0" w:rsidP="003D5BB0">
      <w:pPr>
        <w:spacing w:after="0" w:line="240" w:lineRule="auto"/>
        <w:rPr>
          <w:rFonts w:ascii="Times New Roman" w:eastAsia="Times New Roman" w:hAnsi="Times New Roman" w:cs="Times New Roman"/>
          <w:sz w:val="24"/>
          <w:szCs w:val="24"/>
        </w:rPr>
      </w:pPr>
      <w:r w:rsidRPr="003D5BB0">
        <w:rPr>
          <w:rFonts w:ascii="Times New Roman" w:eastAsia="Times New Roman" w:hAnsi="Times New Roman" w:cs="Times New Roman"/>
          <w:sz w:val="24"/>
          <w:szCs w:val="24"/>
        </w:rPr>
        <w:t>Abstract:</w:t>
      </w:r>
    </w:p>
    <w:p w:rsidR="003D5BB0" w:rsidRDefault="003D5BB0" w:rsidP="003D5BB0">
      <w:pPr>
        <w:spacing w:after="0" w:line="240" w:lineRule="auto"/>
        <w:ind w:left="720"/>
        <w:rPr>
          <w:rFonts w:ascii="Times New Roman" w:eastAsia="Times New Roman" w:hAnsi="Times New Roman" w:cs="Times New Roman"/>
          <w:sz w:val="24"/>
          <w:szCs w:val="24"/>
        </w:rPr>
      </w:pPr>
      <w:r w:rsidRPr="003D5BB0">
        <w:rPr>
          <w:rFonts w:ascii="Times New Roman" w:eastAsia="Times New Roman" w:hAnsi="Times New Roman" w:cs="Times New Roman"/>
          <w:sz w:val="24"/>
          <w:szCs w:val="24"/>
        </w:rPr>
        <w:t>Objectives</w:t>
      </w:r>
      <w:proofErr w:type="gramStart"/>
      <w:r w:rsidRPr="003D5BB0">
        <w:rPr>
          <w:rFonts w:ascii="Times New Roman" w:eastAsia="Times New Roman" w:hAnsi="Times New Roman" w:cs="Times New Roman"/>
          <w:sz w:val="24"/>
          <w:szCs w:val="24"/>
        </w:rPr>
        <w:t>:A</w:t>
      </w:r>
      <w:proofErr w:type="gramEnd"/>
      <w:r w:rsidRPr="003D5BB0">
        <w:rPr>
          <w:rFonts w:ascii="Times New Roman" w:eastAsia="Times New Roman" w:hAnsi="Times New Roman" w:cs="Times New Roman"/>
          <w:sz w:val="24"/>
          <w:szCs w:val="24"/>
        </w:rPr>
        <w:t xml:space="preserve"> healthy lifestyle may help maintain cognitive function and reduce the risk of developing dementia. This study employed a focus group approach in order to gain insight into opinions of mild cognitive impairment (MCI) </w:t>
      </w:r>
      <w:r w:rsidRPr="003D5BB0">
        <w:rPr>
          <w:rFonts w:ascii="Times New Roman" w:eastAsia="Times New Roman" w:hAnsi="Times New Roman" w:cs="Times New Roman"/>
          <w:b/>
          <w:bCs/>
          <w:sz w:val="24"/>
          <w:szCs w:val="24"/>
        </w:rPr>
        <w:t>patients</w:t>
      </w:r>
      <w:r w:rsidRPr="003D5BB0">
        <w:rPr>
          <w:rFonts w:ascii="Times New Roman" w:eastAsia="Times New Roman" w:hAnsi="Times New Roman" w:cs="Times New Roman"/>
          <w:sz w:val="24"/>
          <w:szCs w:val="24"/>
        </w:rPr>
        <w:t xml:space="preserve">, caregivers (CG) and </w:t>
      </w:r>
      <w:r w:rsidRPr="003D5BB0">
        <w:rPr>
          <w:rFonts w:ascii="Times New Roman" w:eastAsia="Times New Roman" w:hAnsi="Times New Roman" w:cs="Times New Roman"/>
          <w:sz w:val="24"/>
          <w:szCs w:val="24"/>
        </w:rPr>
        <w:lastRenderedPageBreak/>
        <w:t xml:space="preserve">health professionals (HP) regarding lifestyle and its relationship with cognition. The </w:t>
      </w:r>
      <w:r w:rsidRPr="003D5BB0">
        <w:rPr>
          <w:rFonts w:ascii="Times New Roman" w:eastAsia="Times New Roman" w:hAnsi="Times New Roman" w:cs="Times New Roman"/>
          <w:b/>
          <w:bCs/>
          <w:sz w:val="24"/>
          <w:szCs w:val="24"/>
        </w:rPr>
        <w:t>qualitative</w:t>
      </w:r>
      <w:r w:rsidRPr="003D5BB0">
        <w:rPr>
          <w:rFonts w:ascii="Times New Roman" w:eastAsia="Times New Roman" w:hAnsi="Times New Roman" w:cs="Times New Roman"/>
          <w:sz w:val="24"/>
          <w:szCs w:val="24"/>
        </w:rPr>
        <w:t xml:space="preserve"> data were used to design, develop and pilot test educational material (EM) to help encourage lifestyle </w:t>
      </w:r>
      <w:proofErr w:type="spellStart"/>
      <w:r w:rsidRPr="003D5BB0">
        <w:rPr>
          <w:rFonts w:ascii="Times New Roman" w:eastAsia="Times New Roman" w:hAnsi="Times New Roman" w:cs="Times New Roman"/>
          <w:sz w:val="24"/>
          <w:szCs w:val="24"/>
        </w:rPr>
        <w:t>behaviour</w:t>
      </w:r>
      <w:proofErr w:type="spellEnd"/>
      <w:r w:rsidRPr="003D5BB0">
        <w:rPr>
          <w:rFonts w:ascii="Times New Roman" w:eastAsia="Times New Roman" w:hAnsi="Times New Roman" w:cs="Times New Roman"/>
          <w:sz w:val="24"/>
          <w:szCs w:val="24"/>
        </w:rPr>
        <w:t xml:space="preserve"> </w:t>
      </w:r>
      <w:proofErr w:type="spellStart"/>
      <w:r w:rsidRPr="003D5BB0">
        <w:rPr>
          <w:rFonts w:ascii="Times New Roman" w:eastAsia="Times New Roman" w:hAnsi="Times New Roman" w:cs="Times New Roman"/>
          <w:sz w:val="24"/>
          <w:szCs w:val="24"/>
        </w:rPr>
        <w:t>change.Method</w:t>
      </w:r>
      <w:proofErr w:type="gramStart"/>
      <w:r w:rsidRPr="003D5BB0">
        <w:rPr>
          <w:rFonts w:ascii="Times New Roman" w:eastAsia="Times New Roman" w:hAnsi="Times New Roman" w:cs="Times New Roman"/>
          <w:sz w:val="24"/>
          <w:szCs w:val="24"/>
        </w:rPr>
        <w:t>:Data</w:t>
      </w:r>
      <w:proofErr w:type="spellEnd"/>
      <w:proofErr w:type="gramEnd"/>
      <w:r w:rsidRPr="003D5BB0">
        <w:rPr>
          <w:rFonts w:ascii="Times New Roman" w:eastAsia="Times New Roman" w:hAnsi="Times New Roman" w:cs="Times New Roman"/>
          <w:sz w:val="24"/>
          <w:szCs w:val="24"/>
        </w:rPr>
        <w:t xml:space="preserve"> gathering phase: structured interviews were conducted with HP (n= 10), and focus groups with MCI </w:t>
      </w:r>
      <w:r w:rsidRPr="003D5BB0">
        <w:rPr>
          <w:rFonts w:ascii="Times New Roman" w:eastAsia="Times New Roman" w:hAnsi="Times New Roman" w:cs="Times New Roman"/>
          <w:b/>
          <w:bCs/>
          <w:sz w:val="24"/>
          <w:szCs w:val="24"/>
        </w:rPr>
        <w:t>patients</w:t>
      </w:r>
      <w:r w:rsidRPr="003D5BB0">
        <w:rPr>
          <w:rFonts w:ascii="Times New Roman" w:eastAsia="Times New Roman" w:hAnsi="Times New Roman" w:cs="Times New Roman"/>
          <w:sz w:val="24"/>
          <w:szCs w:val="24"/>
        </w:rPr>
        <w:t xml:space="preserve"> (n= 24) and CG (n= 12). EM was developed and pilot tested with a new group of MCI </w:t>
      </w:r>
      <w:r w:rsidRPr="003D5BB0">
        <w:rPr>
          <w:rFonts w:ascii="Times New Roman" w:eastAsia="Times New Roman" w:hAnsi="Times New Roman" w:cs="Times New Roman"/>
          <w:b/>
          <w:bCs/>
          <w:sz w:val="24"/>
          <w:szCs w:val="24"/>
        </w:rPr>
        <w:t>patients</w:t>
      </w:r>
      <w:r w:rsidRPr="003D5BB0">
        <w:rPr>
          <w:rFonts w:ascii="Times New Roman" w:eastAsia="Times New Roman" w:hAnsi="Times New Roman" w:cs="Times New Roman"/>
          <w:sz w:val="24"/>
          <w:szCs w:val="24"/>
        </w:rPr>
        <w:t xml:space="preserve"> (n= 21) and CG (n= 6).</w:t>
      </w:r>
      <w:proofErr w:type="spellStart"/>
      <w:r w:rsidRPr="003D5BB0">
        <w:rPr>
          <w:rFonts w:ascii="Times New Roman" w:eastAsia="Times New Roman" w:hAnsi="Times New Roman" w:cs="Times New Roman"/>
          <w:sz w:val="24"/>
          <w:szCs w:val="24"/>
        </w:rPr>
        <w:t>Results</w:t>
      </w:r>
      <w:proofErr w:type="gramStart"/>
      <w:r w:rsidRPr="003D5BB0">
        <w:rPr>
          <w:rFonts w:ascii="Times New Roman" w:eastAsia="Times New Roman" w:hAnsi="Times New Roman" w:cs="Times New Roman"/>
          <w:sz w:val="24"/>
          <w:szCs w:val="24"/>
        </w:rPr>
        <w:t>:HP</w:t>
      </w:r>
      <w:proofErr w:type="spellEnd"/>
      <w:proofErr w:type="gramEnd"/>
      <w:r w:rsidRPr="003D5BB0">
        <w:rPr>
          <w:rFonts w:ascii="Times New Roman" w:eastAsia="Times New Roman" w:hAnsi="Times New Roman" w:cs="Times New Roman"/>
          <w:sz w:val="24"/>
          <w:szCs w:val="24"/>
        </w:rPr>
        <w:t xml:space="preserve"> alluded to the lack of clinical trial evidence for a lifestyle and MCI risk link. Although they felt that lifestyle modifications should be recommended to MCI </w:t>
      </w:r>
      <w:r w:rsidRPr="003D5BB0">
        <w:rPr>
          <w:rFonts w:ascii="Times New Roman" w:eastAsia="Times New Roman" w:hAnsi="Times New Roman" w:cs="Times New Roman"/>
          <w:b/>
          <w:bCs/>
          <w:sz w:val="24"/>
          <w:szCs w:val="24"/>
        </w:rPr>
        <w:t>patients</w:t>
      </w:r>
      <w:r w:rsidRPr="003D5BB0">
        <w:rPr>
          <w:rFonts w:ascii="Times New Roman" w:eastAsia="Times New Roman" w:hAnsi="Times New Roman" w:cs="Times New Roman"/>
          <w:sz w:val="24"/>
          <w:szCs w:val="24"/>
        </w:rPr>
        <w:t xml:space="preserve">, they appeared hesitant in communicating this information and discussions were often </w:t>
      </w:r>
      <w:r w:rsidRPr="003D5BB0">
        <w:rPr>
          <w:rFonts w:ascii="Times New Roman" w:eastAsia="Times New Roman" w:hAnsi="Times New Roman" w:cs="Times New Roman"/>
          <w:b/>
          <w:bCs/>
          <w:sz w:val="24"/>
          <w:szCs w:val="24"/>
        </w:rPr>
        <w:t>patient</w:t>
      </w:r>
      <w:r w:rsidRPr="003D5BB0">
        <w:rPr>
          <w:rFonts w:ascii="Times New Roman" w:eastAsia="Times New Roman" w:hAnsi="Times New Roman" w:cs="Times New Roman"/>
          <w:sz w:val="24"/>
          <w:szCs w:val="24"/>
        </w:rPr>
        <w:t xml:space="preserve">-driven. MCI </w:t>
      </w:r>
      <w:r w:rsidRPr="003D5BB0">
        <w:rPr>
          <w:rFonts w:ascii="Times New Roman" w:eastAsia="Times New Roman" w:hAnsi="Times New Roman" w:cs="Times New Roman"/>
          <w:b/>
          <w:bCs/>
          <w:sz w:val="24"/>
          <w:szCs w:val="24"/>
        </w:rPr>
        <w:t>patients</w:t>
      </w:r>
      <w:r w:rsidRPr="003D5BB0">
        <w:rPr>
          <w:rFonts w:ascii="Times New Roman" w:eastAsia="Times New Roman" w:hAnsi="Times New Roman" w:cs="Times New Roman"/>
          <w:sz w:val="24"/>
          <w:szCs w:val="24"/>
        </w:rPr>
        <w:t xml:space="preserve"> lacked awareness of the lifestyle cognition link. Participants preferred EM to be concise, eye-catching and in written format, with personal delivery of information </w:t>
      </w:r>
      <w:proofErr w:type="spellStart"/>
      <w:r w:rsidRPr="003D5BB0">
        <w:rPr>
          <w:rFonts w:ascii="Times New Roman" w:eastAsia="Times New Roman" w:hAnsi="Times New Roman" w:cs="Times New Roman"/>
          <w:sz w:val="24"/>
          <w:szCs w:val="24"/>
        </w:rPr>
        <w:t>favoured</w:t>
      </w:r>
      <w:proofErr w:type="spellEnd"/>
      <w:r w:rsidRPr="003D5BB0">
        <w:rPr>
          <w:rFonts w:ascii="Times New Roman" w:eastAsia="Times New Roman" w:hAnsi="Times New Roman" w:cs="Times New Roman"/>
          <w:sz w:val="24"/>
          <w:szCs w:val="24"/>
        </w:rPr>
        <w:t xml:space="preserve">. Most pilot testers approved of the EM but were heterogeneous in terms of lifestyle, willingness to change and support needed to </w:t>
      </w:r>
      <w:proofErr w:type="spellStart"/>
      <w:r w:rsidRPr="003D5BB0">
        <w:rPr>
          <w:rFonts w:ascii="Times New Roman" w:eastAsia="Times New Roman" w:hAnsi="Times New Roman" w:cs="Times New Roman"/>
          <w:sz w:val="24"/>
          <w:szCs w:val="24"/>
        </w:rPr>
        <w:t>change.Conclusion</w:t>
      </w:r>
      <w:proofErr w:type="gramStart"/>
      <w:r w:rsidRPr="003D5BB0">
        <w:rPr>
          <w:rFonts w:ascii="Times New Roman" w:eastAsia="Times New Roman" w:hAnsi="Times New Roman" w:cs="Times New Roman"/>
          <w:sz w:val="24"/>
          <w:szCs w:val="24"/>
        </w:rPr>
        <w:t>:MCI</w:t>
      </w:r>
      <w:proofErr w:type="spellEnd"/>
      <w:proofErr w:type="gramEnd"/>
      <w:r w:rsidRPr="003D5BB0">
        <w:rPr>
          <w:rFonts w:ascii="Times New Roman" w:eastAsia="Times New Roman" w:hAnsi="Times New Roman" w:cs="Times New Roman"/>
          <w:sz w:val="24"/>
          <w:szCs w:val="24"/>
        </w:rPr>
        <w:t xml:space="preserve"> </w:t>
      </w:r>
      <w:r w:rsidRPr="003D5BB0">
        <w:rPr>
          <w:rFonts w:ascii="Times New Roman" w:eastAsia="Times New Roman" w:hAnsi="Times New Roman" w:cs="Times New Roman"/>
          <w:b/>
          <w:bCs/>
          <w:sz w:val="24"/>
          <w:szCs w:val="24"/>
        </w:rPr>
        <w:t>patients</w:t>
      </w:r>
      <w:r w:rsidRPr="003D5BB0">
        <w:rPr>
          <w:rFonts w:ascii="Times New Roman" w:eastAsia="Times New Roman" w:hAnsi="Times New Roman" w:cs="Times New Roman"/>
          <w:sz w:val="24"/>
          <w:szCs w:val="24"/>
        </w:rPr>
        <w:t xml:space="preserve"> need to be made more aware of the importance of lifestyle for cognition. EM such as those developed here, which are specifically tailored for this population would be valuable for HP who, currently, </w:t>
      </w:r>
      <w:proofErr w:type="gramStart"/>
      <w:r w:rsidRPr="003D5BB0">
        <w:rPr>
          <w:rFonts w:ascii="Times New Roman" w:eastAsia="Times New Roman" w:hAnsi="Times New Roman" w:cs="Times New Roman"/>
          <w:sz w:val="24"/>
          <w:szCs w:val="24"/>
        </w:rPr>
        <w:t>appear</w:t>
      </w:r>
      <w:proofErr w:type="gramEnd"/>
      <w:r w:rsidRPr="003D5BB0">
        <w:rPr>
          <w:rFonts w:ascii="Times New Roman" w:eastAsia="Times New Roman" w:hAnsi="Times New Roman" w:cs="Times New Roman"/>
          <w:sz w:val="24"/>
          <w:szCs w:val="24"/>
        </w:rPr>
        <w:t xml:space="preserve"> reticent in initiating lifestyle-related discussions. Following further evaluation, the EM could be used in health promotion activities targeting MCI </w:t>
      </w:r>
      <w:r w:rsidRPr="003D5BB0">
        <w:rPr>
          <w:rFonts w:ascii="Times New Roman" w:eastAsia="Times New Roman" w:hAnsi="Times New Roman" w:cs="Times New Roman"/>
          <w:b/>
          <w:bCs/>
          <w:sz w:val="24"/>
          <w:szCs w:val="24"/>
        </w:rPr>
        <w:t>patients</w:t>
      </w:r>
      <w:r w:rsidRPr="003D5BB0">
        <w:rPr>
          <w:rFonts w:ascii="Times New Roman" w:eastAsia="Times New Roman" w:hAnsi="Times New Roman" w:cs="Times New Roman"/>
          <w:sz w:val="24"/>
          <w:szCs w:val="24"/>
        </w:rPr>
        <w:t>.</w:t>
      </w:r>
    </w:p>
    <w:p w:rsidR="00A144EF" w:rsidRDefault="00A144EF" w:rsidP="003D5BB0">
      <w:pPr>
        <w:spacing w:after="0" w:line="240" w:lineRule="auto"/>
        <w:ind w:left="720"/>
        <w:rPr>
          <w:rFonts w:ascii="Times New Roman" w:eastAsia="Times New Roman" w:hAnsi="Times New Roman" w:cs="Times New Roman"/>
          <w:sz w:val="24"/>
          <w:szCs w:val="24"/>
        </w:rPr>
      </w:pPr>
    </w:p>
    <w:p w:rsidR="00A144EF" w:rsidRDefault="00A144EF" w:rsidP="003D5BB0">
      <w:pPr>
        <w:spacing w:after="0" w:line="240" w:lineRule="auto"/>
        <w:ind w:left="720"/>
        <w:rPr>
          <w:rFonts w:ascii="Times New Roman" w:eastAsia="Times New Roman" w:hAnsi="Times New Roman" w:cs="Times New Roman"/>
          <w:sz w:val="24"/>
          <w:szCs w:val="24"/>
        </w:rPr>
      </w:pPr>
    </w:p>
    <w:p w:rsidR="00A144EF" w:rsidRDefault="00A144EF" w:rsidP="003D5BB0">
      <w:pPr>
        <w:spacing w:after="0" w:line="240" w:lineRule="auto"/>
        <w:ind w:left="720"/>
      </w:pPr>
      <w:proofErr w:type="spellStart"/>
      <w:proofErr w:type="gramStart"/>
      <w:r>
        <w:t>Haspeslagh</w:t>
      </w:r>
      <w:proofErr w:type="spellEnd"/>
      <w:r>
        <w:t xml:space="preserve">, A., De </w:t>
      </w:r>
      <w:proofErr w:type="spellStart"/>
      <w:r>
        <w:t>Bondt</w:t>
      </w:r>
      <w:proofErr w:type="spellEnd"/>
      <w:r>
        <w:t xml:space="preserve">, K., </w:t>
      </w:r>
      <w:proofErr w:type="spellStart"/>
      <w:r>
        <w:t>Kuypers</w:t>
      </w:r>
      <w:proofErr w:type="spellEnd"/>
      <w:r>
        <w:t xml:space="preserve">, D., </w:t>
      </w:r>
      <w:proofErr w:type="spellStart"/>
      <w:r>
        <w:t>Naesens</w:t>
      </w:r>
      <w:proofErr w:type="spellEnd"/>
      <w:r>
        <w:t xml:space="preserve">, M., </w:t>
      </w:r>
      <w:proofErr w:type="spellStart"/>
      <w:r>
        <w:t>Breunig</w:t>
      </w:r>
      <w:proofErr w:type="spellEnd"/>
      <w:r>
        <w:t xml:space="preserve">, C., &amp; </w:t>
      </w:r>
      <w:proofErr w:type="spellStart"/>
      <w:r>
        <w:t>Dobbels</w:t>
      </w:r>
      <w:proofErr w:type="spellEnd"/>
      <w:r>
        <w:t>, F. (2013).</w:t>
      </w:r>
      <w:proofErr w:type="gramEnd"/>
      <w:r>
        <w:t xml:space="preserve"> Completeness and satisfaction with the education and information received by patients immediately after kidney transplant: a mixed-models study. </w:t>
      </w:r>
      <w:r>
        <w:rPr>
          <w:i/>
          <w:iCs/>
        </w:rPr>
        <w:t xml:space="preserve">Progress </w:t>
      </w:r>
      <w:proofErr w:type="gramStart"/>
      <w:r>
        <w:rPr>
          <w:i/>
          <w:iCs/>
        </w:rPr>
        <w:t>In</w:t>
      </w:r>
      <w:proofErr w:type="gramEnd"/>
      <w:r>
        <w:rPr>
          <w:i/>
          <w:iCs/>
        </w:rPr>
        <w:t xml:space="preserve"> Transplantation</w:t>
      </w:r>
      <w:r>
        <w:t xml:space="preserve">, </w:t>
      </w:r>
      <w:r>
        <w:rPr>
          <w:i/>
          <w:iCs/>
        </w:rPr>
        <w:t>23</w:t>
      </w:r>
      <w:r>
        <w:t xml:space="preserve">(1), 12-22. </w:t>
      </w:r>
      <w:proofErr w:type="gramStart"/>
      <w:r>
        <w:t>doi:</w:t>
      </w:r>
      <w:proofErr w:type="gramEnd"/>
      <w:r>
        <w:t>10.7182/pit2013249</w:t>
      </w:r>
    </w:p>
    <w:p w:rsidR="00B7203A" w:rsidRDefault="00B7203A" w:rsidP="003D5BB0">
      <w:pPr>
        <w:spacing w:after="0" w:line="240" w:lineRule="auto"/>
        <w:ind w:left="720"/>
      </w:pPr>
    </w:p>
    <w:p w:rsidR="00B7203A" w:rsidRPr="003D5BB0" w:rsidRDefault="00B7203A" w:rsidP="003D5BB0">
      <w:pPr>
        <w:spacing w:after="0" w:line="240" w:lineRule="auto"/>
        <w:ind w:left="720"/>
        <w:rPr>
          <w:rFonts w:ascii="Times New Roman" w:eastAsia="Times New Roman" w:hAnsi="Times New Roman" w:cs="Times New Roman"/>
          <w:sz w:val="24"/>
          <w:szCs w:val="24"/>
        </w:rPr>
      </w:pPr>
      <w:r>
        <w:t xml:space="preserve">Context-Self-management is important in ensuring good clinical results in kidney transplant recipients. It was unclear whether the current </w:t>
      </w:r>
      <w:r>
        <w:rPr>
          <w:rStyle w:val="Strong"/>
        </w:rPr>
        <w:t>education</w:t>
      </w:r>
      <w:r>
        <w:t xml:space="preserve"> program at a single kidney transplant center sufficiently prepares recent transplant recipients for the many complex self-management tasks required. Objective-To evaluate the completeness of and the satisfaction with the current inpatient kidney transplant </w:t>
      </w:r>
      <w:r>
        <w:rPr>
          <w:rStyle w:val="Strong"/>
        </w:rPr>
        <w:t>education</w:t>
      </w:r>
      <w:r>
        <w:t xml:space="preserve"> program and to determine recipients' needs for information in the first months after discharge. Methods-We used a concurrent mixed-methods design, including 31 kidney transplant recipients who were assessed via a </w:t>
      </w:r>
      <w:proofErr w:type="spellStart"/>
      <w:r>
        <w:t>semistructured</w:t>
      </w:r>
      <w:proofErr w:type="spellEnd"/>
      <w:r>
        <w:t xml:space="preserve"> interview (</w:t>
      </w:r>
      <w:r>
        <w:rPr>
          <w:rStyle w:val="Strong"/>
        </w:rPr>
        <w:t>qualitative</w:t>
      </w:r>
      <w:r>
        <w:t xml:space="preserve"> part) and a questionnaire specifically designed for this study, consisting of 30 </w:t>
      </w:r>
      <w:proofErr w:type="spellStart"/>
      <w:r>
        <w:t>Likert</w:t>
      </w:r>
      <w:proofErr w:type="spellEnd"/>
      <w:r>
        <w:t>-type and open-ended questions (</w:t>
      </w:r>
      <w:r>
        <w:rPr>
          <w:rStyle w:val="Strong"/>
        </w:rPr>
        <w:t>quantitative</w:t>
      </w:r>
      <w:r>
        <w:t xml:space="preserve"> part). Results-Kidney transplant </w:t>
      </w:r>
      <w:r>
        <w:rPr>
          <w:rStyle w:val="Strong"/>
        </w:rPr>
        <w:t>patients</w:t>
      </w:r>
      <w:r>
        <w:t xml:space="preserve"> reported having received extensive information about medication use after transplant surgery (antirejection medication, 93.5%). Information about healthy lifestyle (physical activity and rehabilitation, 54.8%), return to work (54.8%), and emotional coping (25.8%) was considered suboptimal, although most </w:t>
      </w:r>
      <w:r>
        <w:rPr>
          <w:rStyle w:val="Strong"/>
        </w:rPr>
        <w:t>patients</w:t>
      </w:r>
      <w:r>
        <w:t xml:space="preserve"> expressed a need for such information. </w:t>
      </w:r>
      <w:r>
        <w:rPr>
          <w:rStyle w:val="Strong"/>
        </w:rPr>
        <w:t>Patients</w:t>
      </w:r>
      <w:r>
        <w:t xml:space="preserve"> indicated a need for more concrete and practical information, not only during their hospital stay, but also in the long term after transplant. Conclusions-This is the first mixed-models approach showing that our </w:t>
      </w:r>
      <w:r>
        <w:rPr>
          <w:rStyle w:val="Strong"/>
        </w:rPr>
        <w:t>education</w:t>
      </w:r>
      <w:r>
        <w:t xml:space="preserve"> program immediately after transplant focuses on the transfer of factual knowledge, which seems to insufficiently train </w:t>
      </w:r>
      <w:r>
        <w:rPr>
          <w:rStyle w:val="Strong"/>
        </w:rPr>
        <w:t>patients</w:t>
      </w:r>
      <w:r>
        <w:t xml:space="preserve"> in developing self-management skills. Updates of our program are warranted to overcome the gaps in the information provided, to provide more practical tips, and to repeat </w:t>
      </w:r>
      <w:r>
        <w:rPr>
          <w:rStyle w:val="Strong"/>
        </w:rPr>
        <w:t>education</w:t>
      </w:r>
      <w:r>
        <w:t xml:space="preserve"> in the long-term after the transplant surgery, tailored to the </w:t>
      </w:r>
      <w:r>
        <w:rPr>
          <w:rStyle w:val="Strong"/>
        </w:rPr>
        <w:t>patients</w:t>
      </w:r>
      <w:r>
        <w:t>' needs</w:t>
      </w:r>
    </w:p>
    <w:p w:rsidR="003D5BB0" w:rsidRDefault="003D5BB0" w:rsidP="006F6798">
      <w:pPr>
        <w:spacing w:line="480" w:lineRule="auto"/>
        <w:rPr>
          <w:rFonts w:ascii="Times New Roman" w:hAnsi="Times New Roman" w:cs="Times New Roman"/>
          <w:sz w:val="24"/>
          <w:szCs w:val="24"/>
        </w:rPr>
      </w:pPr>
    </w:p>
    <w:p w:rsidR="00331BA1" w:rsidRDefault="00331BA1" w:rsidP="006F6798">
      <w:pPr>
        <w:spacing w:line="480" w:lineRule="auto"/>
      </w:pPr>
      <w:r>
        <w:lastRenderedPageBreak/>
        <w:t xml:space="preserve">Roy, D. (2015). </w:t>
      </w:r>
      <w:proofErr w:type="gramStart"/>
      <w:r>
        <w:t>HEALTH PROFESSIONAL AND FAMILY PERCEPTIONS OF POST-STROKE INFORMATION.</w:t>
      </w:r>
      <w:proofErr w:type="gramEnd"/>
      <w:r>
        <w:t xml:space="preserve"> </w:t>
      </w:r>
      <w:r>
        <w:rPr>
          <w:i/>
          <w:iCs/>
        </w:rPr>
        <w:t xml:space="preserve">Nursing Praxis </w:t>
      </w:r>
      <w:proofErr w:type="gramStart"/>
      <w:r>
        <w:rPr>
          <w:i/>
          <w:iCs/>
        </w:rPr>
        <w:t>In</w:t>
      </w:r>
      <w:proofErr w:type="gramEnd"/>
      <w:r>
        <w:rPr>
          <w:i/>
          <w:iCs/>
        </w:rPr>
        <w:t xml:space="preserve"> New Zealand</w:t>
      </w:r>
      <w:r>
        <w:t xml:space="preserve">, </w:t>
      </w:r>
      <w:r>
        <w:rPr>
          <w:i/>
          <w:iCs/>
        </w:rPr>
        <w:t>31</w:t>
      </w:r>
      <w:r>
        <w:t>(2), 7-24.</w:t>
      </w:r>
    </w:p>
    <w:p w:rsidR="005D3580" w:rsidRPr="005D3580" w:rsidRDefault="005D3580" w:rsidP="005D3580">
      <w:pPr>
        <w:spacing w:after="0" w:line="240" w:lineRule="auto"/>
        <w:rPr>
          <w:rFonts w:ascii="Arial" w:eastAsia="Times New Roman" w:hAnsi="Arial" w:cs="Arial"/>
          <w:sz w:val="30"/>
          <w:szCs w:val="30"/>
        </w:rPr>
      </w:pPr>
      <w:r w:rsidRPr="005D3580">
        <w:rPr>
          <w:rFonts w:ascii="Arial" w:eastAsia="Times New Roman" w:hAnsi="Arial" w:cs="Arial"/>
          <w:sz w:val="30"/>
          <w:szCs w:val="30"/>
        </w:rPr>
        <w:t>Abstract</w:t>
      </w:r>
    </w:p>
    <w:p w:rsidR="005D3580" w:rsidRPr="005D3580" w:rsidRDefault="005D3580" w:rsidP="005D3580">
      <w:pPr>
        <w:spacing w:after="0" w:line="240" w:lineRule="auto"/>
        <w:rPr>
          <w:rFonts w:ascii="Arial" w:eastAsia="Times New Roman" w:hAnsi="Arial" w:cs="Arial"/>
          <w:sz w:val="25"/>
          <w:szCs w:val="25"/>
        </w:rPr>
      </w:pPr>
      <w:r w:rsidRPr="005D3580">
        <w:rPr>
          <w:rFonts w:ascii="Arial" w:eastAsia="Times New Roman" w:hAnsi="Arial" w:cs="Arial"/>
          <w:sz w:val="25"/>
          <w:szCs w:val="25"/>
        </w:rPr>
        <w:t xml:space="preserve">The global burden of stroke is increasing. Many stroke survivors live with significant impairment; the care and support they </w:t>
      </w:r>
    </w:p>
    <w:p w:rsidR="005D3580" w:rsidRPr="005D3580" w:rsidRDefault="005D3580" w:rsidP="005D3580">
      <w:pPr>
        <w:spacing w:after="0" w:line="240" w:lineRule="auto"/>
        <w:rPr>
          <w:rFonts w:ascii="Arial" w:eastAsia="Times New Roman" w:hAnsi="Arial" w:cs="Arial"/>
          <w:sz w:val="25"/>
          <w:szCs w:val="25"/>
        </w:rPr>
      </w:pPr>
      <w:proofErr w:type="gramStart"/>
      <w:r w:rsidRPr="005D3580">
        <w:rPr>
          <w:rFonts w:ascii="Arial" w:eastAsia="Times New Roman" w:hAnsi="Arial" w:cs="Arial"/>
          <w:sz w:val="25"/>
          <w:szCs w:val="25"/>
        </w:rPr>
        <w:t>and</w:t>
      </w:r>
      <w:proofErr w:type="gramEnd"/>
      <w:r w:rsidRPr="005D3580">
        <w:rPr>
          <w:rFonts w:ascii="Arial" w:eastAsia="Times New Roman" w:hAnsi="Arial" w:cs="Arial"/>
          <w:sz w:val="25"/>
          <w:szCs w:val="25"/>
        </w:rPr>
        <w:t xml:space="preserve"> their families require is complex. Literature indicates some evidence to support the routine provision of information </w:t>
      </w:r>
    </w:p>
    <w:p w:rsidR="005D3580" w:rsidRPr="005D3580" w:rsidRDefault="005D3580" w:rsidP="005D3580">
      <w:pPr>
        <w:spacing w:after="0" w:line="240" w:lineRule="auto"/>
        <w:rPr>
          <w:rFonts w:ascii="Arial" w:eastAsia="Times New Roman" w:hAnsi="Arial" w:cs="Arial"/>
          <w:sz w:val="25"/>
          <w:szCs w:val="25"/>
        </w:rPr>
      </w:pPr>
      <w:proofErr w:type="gramStart"/>
      <w:r w:rsidRPr="005D3580">
        <w:rPr>
          <w:rFonts w:ascii="Arial" w:eastAsia="Times New Roman" w:hAnsi="Arial" w:cs="Arial"/>
          <w:sz w:val="25"/>
          <w:szCs w:val="25"/>
        </w:rPr>
        <w:t>to</w:t>
      </w:r>
      <w:proofErr w:type="gramEnd"/>
      <w:r w:rsidRPr="005D3580">
        <w:rPr>
          <w:rFonts w:ascii="Arial" w:eastAsia="Times New Roman" w:hAnsi="Arial" w:cs="Arial"/>
          <w:sz w:val="25"/>
          <w:szCs w:val="25"/>
        </w:rPr>
        <w:t xml:space="preserve"> stroke survivors and their families, but the best way to provide information is unclear. We undertook </w:t>
      </w:r>
      <w:proofErr w:type="gramStart"/>
      <w:r w:rsidRPr="005D3580">
        <w:rPr>
          <w:rFonts w:ascii="Arial" w:eastAsia="Times New Roman" w:hAnsi="Arial" w:cs="Arial"/>
          <w:sz w:val="25"/>
          <w:szCs w:val="25"/>
        </w:rPr>
        <w:t>a mixed methods</w:t>
      </w:r>
      <w:proofErr w:type="gramEnd"/>
      <w:r w:rsidRPr="005D3580">
        <w:rPr>
          <w:rFonts w:ascii="Arial" w:eastAsia="Times New Roman" w:hAnsi="Arial" w:cs="Arial"/>
          <w:sz w:val="25"/>
          <w:szCs w:val="25"/>
        </w:rPr>
        <w:t xml:space="preserve"> </w:t>
      </w:r>
    </w:p>
    <w:p w:rsidR="005D3580" w:rsidRPr="005D3580" w:rsidRDefault="005D3580" w:rsidP="005D3580">
      <w:pPr>
        <w:spacing w:after="0" w:line="240" w:lineRule="auto"/>
        <w:rPr>
          <w:rFonts w:ascii="Arial" w:eastAsia="Times New Roman" w:hAnsi="Arial" w:cs="Arial"/>
          <w:sz w:val="25"/>
          <w:szCs w:val="25"/>
        </w:rPr>
      </w:pPr>
      <w:proofErr w:type="gramStart"/>
      <w:r w:rsidRPr="005D3580">
        <w:rPr>
          <w:rFonts w:ascii="Arial" w:eastAsia="Times New Roman" w:hAnsi="Arial" w:cs="Arial"/>
          <w:sz w:val="25"/>
          <w:szCs w:val="25"/>
        </w:rPr>
        <w:t>descriptive</w:t>
      </w:r>
      <w:proofErr w:type="gramEnd"/>
      <w:r w:rsidRPr="005D3580">
        <w:rPr>
          <w:rFonts w:ascii="Arial" w:eastAsia="Times New Roman" w:hAnsi="Arial" w:cs="Arial"/>
          <w:sz w:val="25"/>
          <w:szCs w:val="25"/>
        </w:rPr>
        <w:t xml:space="preserve"> survey to ascertain information needs of stroke families through identifying current practice and resources, </w:t>
      </w:r>
    </w:p>
    <w:p w:rsidR="005D3580" w:rsidRPr="005D3580" w:rsidRDefault="005D3580" w:rsidP="005D3580">
      <w:pPr>
        <w:spacing w:after="0" w:line="240" w:lineRule="auto"/>
        <w:rPr>
          <w:rFonts w:ascii="Arial" w:eastAsia="Times New Roman" w:hAnsi="Arial" w:cs="Arial"/>
          <w:sz w:val="25"/>
          <w:szCs w:val="25"/>
        </w:rPr>
      </w:pPr>
      <w:proofErr w:type="gramStart"/>
      <w:r w:rsidRPr="005D3580">
        <w:rPr>
          <w:rFonts w:ascii="Arial" w:eastAsia="Times New Roman" w:hAnsi="Arial" w:cs="Arial"/>
          <w:sz w:val="25"/>
          <w:szCs w:val="25"/>
        </w:rPr>
        <w:t>the</w:t>
      </w:r>
      <w:proofErr w:type="gramEnd"/>
      <w:r w:rsidRPr="005D3580">
        <w:rPr>
          <w:rFonts w:ascii="Arial" w:eastAsia="Times New Roman" w:hAnsi="Arial" w:cs="Arial"/>
          <w:sz w:val="25"/>
          <w:szCs w:val="25"/>
        </w:rPr>
        <w:t xml:space="preserve"> appropriateness, accessibility, timeliness and information gaps. The survey, which is embedded in a longitudinal </w:t>
      </w:r>
    </w:p>
    <w:p w:rsidR="005D3580" w:rsidRPr="005D3580" w:rsidRDefault="005D3580" w:rsidP="005D3580">
      <w:pPr>
        <w:spacing w:after="0" w:line="240" w:lineRule="auto"/>
        <w:rPr>
          <w:rFonts w:ascii="Arial" w:eastAsia="Times New Roman" w:hAnsi="Arial" w:cs="Arial"/>
          <w:sz w:val="25"/>
          <w:szCs w:val="25"/>
        </w:rPr>
      </w:pPr>
      <w:proofErr w:type="gramStart"/>
      <w:r w:rsidRPr="005D3580">
        <w:rPr>
          <w:rFonts w:ascii="Arial" w:eastAsia="Times New Roman" w:hAnsi="Arial" w:cs="Arial"/>
          <w:sz w:val="25"/>
          <w:szCs w:val="25"/>
        </w:rPr>
        <w:t>research</w:t>
      </w:r>
      <w:proofErr w:type="gramEnd"/>
      <w:r w:rsidRPr="005D3580">
        <w:rPr>
          <w:rFonts w:ascii="Arial" w:eastAsia="Times New Roman" w:hAnsi="Arial" w:cs="Arial"/>
          <w:sz w:val="25"/>
          <w:szCs w:val="25"/>
        </w:rPr>
        <w:t xml:space="preserve"> </w:t>
      </w:r>
      <w:proofErr w:type="spellStart"/>
      <w:r w:rsidRPr="005D3580">
        <w:rPr>
          <w:rFonts w:ascii="Arial" w:eastAsia="Times New Roman" w:hAnsi="Arial" w:cs="Arial"/>
          <w:sz w:val="25"/>
          <w:szCs w:val="25"/>
        </w:rPr>
        <w:t>programme</w:t>
      </w:r>
      <w:proofErr w:type="spellEnd"/>
      <w:r w:rsidRPr="005D3580">
        <w:rPr>
          <w:rFonts w:ascii="Arial" w:eastAsia="Times New Roman" w:hAnsi="Arial" w:cs="Arial"/>
          <w:sz w:val="25"/>
          <w:szCs w:val="25"/>
        </w:rPr>
        <w:t xml:space="preserve"> titled ‘Stroke Families </w:t>
      </w:r>
      <w:proofErr w:type="spellStart"/>
      <w:r w:rsidRPr="005D3580">
        <w:rPr>
          <w:rFonts w:ascii="Arial" w:eastAsia="Times New Roman" w:hAnsi="Arial" w:cs="Arial"/>
          <w:sz w:val="25"/>
          <w:szCs w:val="25"/>
        </w:rPr>
        <w:t>Whānau</w:t>
      </w:r>
      <w:proofErr w:type="spellEnd"/>
      <w:r w:rsidRPr="005D3580">
        <w:rPr>
          <w:rFonts w:ascii="Arial" w:eastAsia="Times New Roman" w:hAnsi="Arial" w:cs="Arial"/>
          <w:sz w:val="25"/>
          <w:szCs w:val="25"/>
        </w:rPr>
        <w:t xml:space="preserve"> </w:t>
      </w:r>
      <w:proofErr w:type="spellStart"/>
      <w:r w:rsidRPr="005D3580">
        <w:rPr>
          <w:rFonts w:ascii="Arial" w:eastAsia="Times New Roman" w:hAnsi="Arial" w:cs="Arial"/>
          <w:sz w:val="25"/>
          <w:szCs w:val="25"/>
        </w:rPr>
        <w:t>Programme</w:t>
      </w:r>
      <w:proofErr w:type="spellEnd"/>
      <w:r w:rsidRPr="005D3580">
        <w:rPr>
          <w:rFonts w:ascii="Arial" w:eastAsia="Times New Roman" w:hAnsi="Arial" w:cs="Arial"/>
          <w:sz w:val="25"/>
          <w:szCs w:val="25"/>
        </w:rPr>
        <w:t xml:space="preserve">’, was used to gain an understanding of family members’ </w:t>
      </w:r>
    </w:p>
    <w:p w:rsidR="005D3580" w:rsidRPr="005D3580" w:rsidRDefault="005D3580" w:rsidP="005D3580">
      <w:pPr>
        <w:spacing w:after="0" w:line="240" w:lineRule="auto"/>
        <w:rPr>
          <w:rFonts w:ascii="Arial" w:eastAsia="Times New Roman" w:hAnsi="Arial" w:cs="Arial"/>
          <w:sz w:val="25"/>
          <w:szCs w:val="25"/>
        </w:rPr>
      </w:pPr>
      <w:r w:rsidRPr="005D3580">
        <w:rPr>
          <w:rFonts w:ascii="Arial" w:eastAsia="Times New Roman" w:hAnsi="Arial" w:cs="Arial"/>
          <w:sz w:val="25"/>
          <w:szCs w:val="25"/>
        </w:rPr>
        <w:t xml:space="preserve">(n=19) and practitioners’ (n=23) opinions on information provision post-stroke. Qualitative and quantitative data were </w:t>
      </w:r>
    </w:p>
    <w:p w:rsidR="005D3580" w:rsidRPr="005D3580" w:rsidRDefault="005D3580" w:rsidP="005D3580">
      <w:pPr>
        <w:spacing w:after="0" w:line="240" w:lineRule="auto"/>
        <w:rPr>
          <w:rFonts w:ascii="Arial" w:eastAsia="Times New Roman" w:hAnsi="Arial" w:cs="Arial"/>
          <w:sz w:val="25"/>
          <w:szCs w:val="25"/>
        </w:rPr>
      </w:pPr>
      <w:proofErr w:type="gramStart"/>
      <w:r w:rsidRPr="005D3580">
        <w:rPr>
          <w:rFonts w:ascii="Arial" w:eastAsia="Times New Roman" w:hAnsi="Arial" w:cs="Arial"/>
          <w:sz w:val="25"/>
          <w:szCs w:val="25"/>
        </w:rPr>
        <w:t>collected</w:t>
      </w:r>
      <w:proofErr w:type="gramEnd"/>
      <w:r w:rsidRPr="005D3580">
        <w:rPr>
          <w:rFonts w:ascii="Arial" w:eastAsia="Times New Roman" w:hAnsi="Arial" w:cs="Arial"/>
          <w:sz w:val="25"/>
          <w:szCs w:val="25"/>
        </w:rPr>
        <w:t xml:space="preserve"> via face-to-face interviews. Descriptive statistics were used to </w:t>
      </w:r>
      <w:proofErr w:type="spellStart"/>
      <w:r w:rsidRPr="005D3580">
        <w:rPr>
          <w:rFonts w:ascii="Arial" w:eastAsia="Times New Roman" w:hAnsi="Arial" w:cs="Arial"/>
          <w:sz w:val="25"/>
          <w:szCs w:val="25"/>
        </w:rPr>
        <w:t>analyse</w:t>
      </w:r>
      <w:proofErr w:type="spellEnd"/>
      <w:r w:rsidRPr="005D3580">
        <w:rPr>
          <w:rFonts w:ascii="Arial" w:eastAsia="Times New Roman" w:hAnsi="Arial" w:cs="Arial"/>
          <w:sz w:val="25"/>
          <w:szCs w:val="25"/>
        </w:rPr>
        <w:t xml:space="preserve"> quantitative data; content analysis was </w:t>
      </w:r>
    </w:p>
    <w:p w:rsidR="005D3580" w:rsidRPr="005D3580" w:rsidRDefault="005D3580" w:rsidP="005D3580">
      <w:pPr>
        <w:spacing w:after="0" w:line="240" w:lineRule="auto"/>
        <w:rPr>
          <w:rFonts w:ascii="Arial" w:eastAsia="Times New Roman" w:hAnsi="Arial" w:cs="Arial"/>
          <w:sz w:val="25"/>
          <w:szCs w:val="25"/>
        </w:rPr>
      </w:pPr>
      <w:proofErr w:type="gramStart"/>
      <w:r w:rsidRPr="005D3580">
        <w:rPr>
          <w:rFonts w:ascii="Arial" w:eastAsia="Times New Roman" w:hAnsi="Arial" w:cs="Arial"/>
          <w:sz w:val="25"/>
          <w:szCs w:val="25"/>
        </w:rPr>
        <w:t>used</w:t>
      </w:r>
      <w:proofErr w:type="gramEnd"/>
      <w:r w:rsidRPr="005D3580">
        <w:rPr>
          <w:rFonts w:ascii="Arial" w:eastAsia="Times New Roman" w:hAnsi="Arial" w:cs="Arial"/>
          <w:sz w:val="25"/>
          <w:szCs w:val="25"/>
        </w:rPr>
        <w:t xml:space="preserve"> for qualitative data. We found that for families, access to information was variable, both in quality and timeliness. </w:t>
      </w:r>
    </w:p>
    <w:p w:rsidR="005D3580" w:rsidRPr="005D3580" w:rsidRDefault="005D3580" w:rsidP="005D3580">
      <w:pPr>
        <w:spacing w:after="0" w:line="240" w:lineRule="auto"/>
        <w:rPr>
          <w:rFonts w:ascii="Arial" w:eastAsia="Times New Roman" w:hAnsi="Arial" w:cs="Arial"/>
          <w:sz w:val="25"/>
          <w:szCs w:val="25"/>
        </w:rPr>
      </w:pPr>
      <w:r w:rsidRPr="005D3580">
        <w:rPr>
          <w:rFonts w:ascii="Arial" w:eastAsia="Times New Roman" w:hAnsi="Arial" w:cs="Arial"/>
          <w:sz w:val="25"/>
          <w:szCs w:val="25"/>
        </w:rPr>
        <w:t xml:space="preserve">Most described being overwhelmed initially with information they could not absorb; then later floundering as they </w:t>
      </w:r>
    </w:p>
    <w:p w:rsidR="005D3580" w:rsidRPr="005D3580" w:rsidRDefault="005D3580" w:rsidP="005D3580">
      <w:pPr>
        <w:spacing w:after="0" w:line="240" w:lineRule="auto"/>
        <w:rPr>
          <w:rFonts w:ascii="Arial" w:eastAsia="Times New Roman" w:hAnsi="Arial" w:cs="Arial"/>
          <w:sz w:val="25"/>
          <w:szCs w:val="25"/>
        </w:rPr>
      </w:pPr>
      <w:proofErr w:type="gramStart"/>
      <w:r w:rsidRPr="005D3580">
        <w:rPr>
          <w:rFonts w:ascii="Arial" w:eastAsia="Times New Roman" w:hAnsi="Arial" w:cs="Arial"/>
          <w:sz w:val="25"/>
          <w:szCs w:val="25"/>
        </w:rPr>
        <w:t>had</w:t>
      </w:r>
      <w:proofErr w:type="gramEnd"/>
      <w:r w:rsidRPr="005D3580">
        <w:rPr>
          <w:rFonts w:ascii="Arial" w:eastAsia="Times New Roman" w:hAnsi="Arial" w:cs="Arial"/>
          <w:sz w:val="25"/>
          <w:szCs w:val="25"/>
        </w:rPr>
        <w:t xml:space="preserve"> to find their own way through the maze. Few could recall information that focused specifically on them as family </w:t>
      </w:r>
    </w:p>
    <w:p w:rsidR="005D3580" w:rsidRPr="005D3580" w:rsidRDefault="005D3580" w:rsidP="005D3580">
      <w:pPr>
        <w:spacing w:after="0" w:line="240" w:lineRule="auto"/>
        <w:rPr>
          <w:rFonts w:ascii="Arial" w:eastAsia="Times New Roman" w:hAnsi="Arial" w:cs="Arial"/>
          <w:sz w:val="25"/>
          <w:szCs w:val="25"/>
        </w:rPr>
      </w:pPr>
      <w:proofErr w:type="gramStart"/>
      <w:r w:rsidRPr="005D3580">
        <w:rPr>
          <w:rFonts w:ascii="Arial" w:eastAsia="Times New Roman" w:hAnsi="Arial" w:cs="Arial"/>
          <w:sz w:val="25"/>
          <w:szCs w:val="25"/>
        </w:rPr>
        <w:t>members</w:t>
      </w:r>
      <w:proofErr w:type="gramEnd"/>
      <w:r w:rsidRPr="005D3580">
        <w:rPr>
          <w:rFonts w:ascii="Arial" w:eastAsia="Times New Roman" w:hAnsi="Arial" w:cs="Arial"/>
          <w:sz w:val="25"/>
          <w:szCs w:val="25"/>
        </w:rPr>
        <w:t xml:space="preserve">. Health professionals described a range of resources and practices used to provide information. They identified </w:t>
      </w:r>
    </w:p>
    <w:p w:rsidR="005D3580" w:rsidRPr="005D3580" w:rsidRDefault="005D3580" w:rsidP="005D3580">
      <w:pPr>
        <w:spacing w:after="0" w:line="240" w:lineRule="auto"/>
        <w:rPr>
          <w:rFonts w:ascii="Arial" w:eastAsia="Times New Roman" w:hAnsi="Arial" w:cs="Arial"/>
          <w:sz w:val="25"/>
          <w:szCs w:val="25"/>
        </w:rPr>
      </w:pPr>
      <w:proofErr w:type="gramStart"/>
      <w:r w:rsidRPr="005D3580">
        <w:rPr>
          <w:rFonts w:ascii="Arial" w:eastAsia="Times New Roman" w:hAnsi="Arial" w:cs="Arial"/>
          <w:sz w:val="25"/>
          <w:szCs w:val="25"/>
        </w:rPr>
        <w:t>barriers</w:t>
      </w:r>
      <w:proofErr w:type="gramEnd"/>
      <w:r w:rsidRPr="005D3580">
        <w:rPr>
          <w:rFonts w:ascii="Arial" w:eastAsia="Times New Roman" w:hAnsi="Arial" w:cs="Arial"/>
          <w:sz w:val="25"/>
          <w:szCs w:val="25"/>
        </w:rPr>
        <w:t xml:space="preserve"> to effective provision of information, including language and other communication barriers, time constraints </w:t>
      </w:r>
    </w:p>
    <w:p w:rsidR="005D3580" w:rsidRPr="005D3580" w:rsidRDefault="005D3580" w:rsidP="005D3580">
      <w:pPr>
        <w:spacing w:after="0" w:line="240" w:lineRule="auto"/>
        <w:rPr>
          <w:rFonts w:ascii="Arial" w:eastAsia="Times New Roman" w:hAnsi="Arial" w:cs="Arial"/>
          <w:sz w:val="25"/>
          <w:szCs w:val="25"/>
        </w:rPr>
      </w:pPr>
      <w:proofErr w:type="gramStart"/>
      <w:r w:rsidRPr="005D3580">
        <w:rPr>
          <w:rFonts w:ascii="Arial" w:eastAsia="Times New Roman" w:hAnsi="Arial" w:cs="Arial"/>
          <w:sz w:val="25"/>
          <w:szCs w:val="25"/>
        </w:rPr>
        <w:t>and</w:t>
      </w:r>
      <w:proofErr w:type="gramEnd"/>
      <w:r w:rsidRPr="005D3580">
        <w:rPr>
          <w:rFonts w:ascii="Arial" w:eastAsia="Times New Roman" w:hAnsi="Arial" w:cs="Arial"/>
          <w:sz w:val="25"/>
          <w:szCs w:val="25"/>
        </w:rPr>
        <w:t xml:space="preserve"> workload issues. Most did not assess health literacy levels or consider family needs to be separate to or different </w:t>
      </w:r>
    </w:p>
    <w:p w:rsidR="005D3580" w:rsidRPr="005D3580" w:rsidRDefault="005D3580" w:rsidP="005D3580">
      <w:pPr>
        <w:spacing w:after="0" w:line="240" w:lineRule="auto"/>
        <w:rPr>
          <w:rFonts w:ascii="Arial" w:eastAsia="Times New Roman" w:hAnsi="Arial" w:cs="Arial"/>
          <w:sz w:val="25"/>
          <w:szCs w:val="25"/>
        </w:rPr>
      </w:pPr>
      <w:proofErr w:type="gramStart"/>
      <w:r w:rsidRPr="005D3580">
        <w:rPr>
          <w:rFonts w:ascii="Arial" w:eastAsia="Times New Roman" w:hAnsi="Arial" w:cs="Arial"/>
          <w:sz w:val="25"/>
          <w:szCs w:val="25"/>
        </w:rPr>
        <w:t>from</w:t>
      </w:r>
      <w:proofErr w:type="gramEnd"/>
      <w:r w:rsidRPr="005D3580">
        <w:rPr>
          <w:rFonts w:ascii="Arial" w:eastAsia="Times New Roman" w:hAnsi="Arial" w:cs="Arial"/>
          <w:sz w:val="25"/>
          <w:szCs w:val="25"/>
        </w:rPr>
        <w:t xml:space="preserve"> the stroke survivor’s. We concluded that access to appropriate information post-stroke was problematic for most </w:t>
      </w:r>
    </w:p>
    <w:p w:rsidR="005D3580" w:rsidRPr="005D3580" w:rsidRDefault="005D3580" w:rsidP="005D3580">
      <w:pPr>
        <w:spacing w:after="0" w:line="240" w:lineRule="auto"/>
        <w:rPr>
          <w:rFonts w:ascii="Arial" w:eastAsia="Times New Roman" w:hAnsi="Arial" w:cs="Arial"/>
          <w:sz w:val="25"/>
          <w:szCs w:val="25"/>
        </w:rPr>
      </w:pPr>
      <w:proofErr w:type="gramStart"/>
      <w:r w:rsidRPr="005D3580">
        <w:rPr>
          <w:rFonts w:ascii="Arial" w:eastAsia="Times New Roman" w:hAnsi="Arial" w:cs="Arial"/>
          <w:sz w:val="25"/>
          <w:szCs w:val="25"/>
        </w:rPr>
        <w:t>families</w:t>
      </w:r>
      <w:proofErr w:type="gramEnd"/>
      <w:r w:rsidRPr="005D3580">
        <w:rPr>
          <w:rFonts w:ascii="Arial" w:eastAsia="Times New Roman" w:hAnsi="Arial" w:cs="Arial"/>
          <w:sz w:val="25"/>
          <w:szCs w:val="25"/>
        </w:rPr>
        <w:t xml:space="preserve"> and was compounded by the nature of the experience; shock following the sudden onset and adjusting to </w:t>
      </w:r>
    </w:p>
    <w:p w:rsidR="005D3580" w:rsidRPr="005D3580" w:rsidRDefault="005D3580" w:rsidP="005D3580">
      <w:pPr>
        <w:spacing w:after="0" w:line="240" w:lineRule="auto"/>
        <w:rPr>
          <w:rFonts w:ascii="Arial" w:eastAsia="Times New Roman" w:hAnsi="Arial" w:cs="Arial"/>
          <w:sz w:val="25"/>
          <w:szCs w:val="25"/>
        </w:rPr>
      </w:pPr>
      <w:proofErr w:type="gramStart"/>
      <w:r w:rsidRPr="005D3580">
        <w:rPr>
          <w:rFonts w:ascii="Arial" w:eastAsia="Times New Roman" w:hAnsi="Arial" w:cs="Arial"/>
          <w:sz w:val="25"/>
          <w:szCs w:val="25"/>
        </w:rPr>
        <w:t>changed</w:t>
      </w:r>
      <w:proofErr w:type="gramEnd"/>
      <w:r w:rsidRPr="005D3580">
        <w:rPr>
          <w:rFonts w:ascii="Arial" w:eastAsia="Times New Roman" w:hAnsi="Arial" w:cs="Arial"/>
          <w:sz w:val="25"/>
          <w:szCs w:val="25"/>
        </w:rPr>
        <w:t xml:space="preserve"> family dynamics. Health professionals </w:t>
      </w:r>
      <w:proofErr w:type="spellStart"/>
      <w:r w:rsidRPr="005D3580">
        <w:rPr>
          <w:rFonts w:ascii="Arial" w:eastAsia="Times New Roman" w:hAnsi="Arial" w:cs="Arial"/>
          <w:sz w:val="25"/>
          <w:szCs w:val="25"/>
        </w:rPr>
        <w:t>recognised</w:t>
      </w:r>
      <w:proofErr w:type="spellEnd"/>
      <w:r w:rsidRPr="005D3580">
        <w:rPr>
          <w:rFonts w:ascii="Arial" w:eastAsia="Times New Roman" w:hAnsi="Arial" w:cs="Arial"/>
          <w:sz w:val="25"/>
          <w:szCs w:val="25"/>
        </w:rPr>
        <w:t xml:space="preserve"> the limitations of resources, time, and funding alongside the </w:t>
      </w:r>
    </w:p>
    <w:p w:rsidR="005D3580" w:rsidRPr="005D3580" w:rsidRDefault="005D3580" w:rsidP="005D3580">
      <w:pPr>
        <w:spacing w:after="0" w:line="240" w:lineRule="auto"/>
        <w:rPr>
          <w:rFonts w:ascii="Arial" w:eastAsia="Times New Roman" w:hAnsi="Arial" w:cs="Arial"/>
          <w:sz w:val="25"/>
          <w:szCs w:val="25"/>
        </w:rPr>
      </w:pPr>
      <w:proofErr w:type="gramStart"/>
      <w:r w:rsidRPr="005D3580">
        <w:rPr>
          <w:rFonts w:ascii="Arial" w:eastAsia="Times New Roman" w:hAnsi="Arial" w:cs="Arial"/>
          <w:sz w:val="25"/>
          <w:szCs w:val="25"/>
        </w:rPr>
        <w:t>need</w:t>
      </w:r>
      <w:proofErr w:type="gramEnd"/>
      <w:r w:rsidRPr="005D3580">
        <w:rPr>
          <w:rFonts w:ascii="Arial" w:eastAsia="Times New Roman" w:hAnsi="Arial" w:cs="Arial"/>
          <w:sz w:val="25"/>
          <w:szCs w:val="25"/>
        </w:rPr>
        <w:t xml:space="preserve"> for timely, quality education for families post-stroke, however, a gap was identified between health professionals’ </w:t>
      </w:r>
    </w:p>
    <w:p w:rsidR="005D3580" w:rsidRPr="005D3580" w:rsidRDefault="005D3580" w:rsidP="005D3580">
      <w:pPr>
        <w:spacing w:after="0" w:line="240" w:lineRule="auto"/>
        <w:rPr>
          <w:rFonts w:ascii="Arial" w:eastAsia="Times New Roman" w:hAnsi="Arial" w:cs="Arial"/>
          <w:sz w:val="25"/>
          <w:szCs w:val="25"/>
        </w:rPr>
      </w:pPr>
      <w:proofErr w:type="gramStart"/>
      <w:r w:rsidRPr="005D3580">
        <w:rPr>
          <w:rFonts w:ascii="Arial" w:eastAsia="Times New Roman" w:hAnsi="Arial" w:cs="Arial"/>
          <w:sz w:val="25"/>
          <w:szCs w:val="25"/>
        </w:rPr>
        <w:t>theoretical</w:t>
      </w:r>
      <w:proofErr w:type="gramEnd"/>
      <w:r w:rsidRPr="005D3580">
        <w:rPr>
          <w:rFonts w:ascii="Arial" w:eastAsia="Times New Roman" w:hAnsi="Arial" w:cs="Arial"/>
          <w:sz w:val="25"/>
          <w:szCs w:val="25"/>
        </w:rPr>
        <w:t xml:space="preserve"> understanding of best practice in information provision and their actual practice. </w:t>
      </w:r>
    </w:p>
    <w:p w:rsidR="005D3580" w:rsidRDefault="005D3580" w:rsidP="006F6798">
      <w:pPr>
        <w:spacing w:line="480" w:lineRule="auto"/>
        <w:rPr>
          <w:rFonts w:ascii="Times New Roman" w:hAnsi="Times New Roman" w:cs="Times New Roman"/>
          <w:sz w:val="24"/>
          <w:szCs w:val="24"/>
        </w:rPr>
      </w:pPr>
    </w:p>
    <w:p w:rsidR="00D85799" w:rsidRDefault="00D85799" w:rsidP="006F6798">
      <w:pPr>
        <w:spacing w:line="480" w:lineRule="auto"/>
      </w:pPr>
      <w:proofErr w:type="gramStart"/>
      <w:r>
        <w:lastRenderedPageBreak/>
        <w:t xml:space="preserve">Sánchez González, J. C., </w:t>
      </w:r>
      <w:proofErr w:type="spellStart"/>
      <w:r>
        <w:t>Martínez</w:t>
      </w:r>
      <w:proofErr w:type="spellEnd"/>
      <w:r>
        <w:t xml:space="preserve"> </w:t>
      </w:r>
      <w:proofErr w:type="spellStart"/>
      <w:r>
        <w:t>Martínez</w:t>
      </w:r>
      <w:proofErr w:type="spellEnd"/>
      <w:r>
        <w:t xml:space="preserve">, C., </w:t>
      </w:r>
      <w:proofErr w:type="spellStart"/>
      <w:r>
        <w:t>Bethencourt</w:t>
      </w:r>
      <w:proofErr w:type="spellEnd"/>
      <w:r>
        <w:t xml:space="preserve"> </w:t>
      </w:r>
      <w:proofErr w:type="spellStart"/>
      <w:r>
        <w:t>Fernández</w:t>
      </w:r>
      <w:proofErr w:type="spellEnd"/>
      <w:r>
        <w:t xml:space="preserve">, D., &amp; </w:t>
      </w:r>
      <w:proofErr w:type="spellStart"/>
      <w:r>
        <w:t>Pablos</w:t>
      </w:r>
      <w:proofErr w:type="spellEnd"/>
      <w:r>
        <w:t xml:space="preserve"> </w:t>
      </w:r>
      <w:proofErr w:type="spellStart"/>
      <w:r>
        <w:t>López</w:t>
      </w:r>
      <w:proofErr w:type="spellEnd"/>
      <w:r>
        <w:t>, M. (2015).</w:t>
      </w:r>
      <w:proofErr w:type="gramEnd"/>
      <w:r>
        <w:t xml:space="preserve"> </w:t>
      </w:r>
      <w:proofErr w:type="gramStart"/>
      <w:r>
        <w:t xml:space="preserve">The assessment of knowledge about treatment in </w:t>
      </w:r>
      <w:proofErr w:type="spellStart"/>
      <w:r>
        <w:t>haemodialysis</w:t>
      </w:r>
      <w:proofErr w:type="spellEnd"/>
      <w:r>
        <w:t xml:space="preserve"> patients.</w:t>
      </w:r>
      <w:proofErr w:type="gramEnd"/>
      <w:r>
        <w:t xml:space="preserve"> </w:t>
      </w:r>
      <w:proofErr w:type="spellStart"/>
      <w:r>
        <w:rPr>
          <w:i/>
          <w:iCs/>
        </w:rPr>
        <w:t>Enfermería</w:t>
      </w:r>
      <w:proofErr w:type="spellEnd"/>
      <w:r>
        <w:rPr>
          <w:i/>
          <w:iCs/>
        </w:rPr>
        <w:t xml:space="preserve"> </w:t>
      </w:r>
      <w:proofErr w:type="spellStart"/>
      <w:r>
        <w:rPr>
          <w:i/>
          <w:iCs/>
        </w:rPr>
        <w:t>Nefrológica</w:t>
      </w:r>
      <w:proofErr w:type="spellEnd"/>
      <w:r>
        <w:t xml:space="preserve">, </w:t>
      </w:r>
      <w:r>
        <w:rPr>
          <w:i/>
          <w:iCs/>
        </w:rPr>
        <w:t>18</w:t>
      </w:r>
      <w:r>
        <w:t>(1), 23-30.</w:t>
      </w:r>
    </w:p>
    <w:p w:rsidR="00EE5BF4" w:rsidRDefault="00EE5BF4" w:rsidP="006F6798">
      <w:pPr>
        <w:spacing w:line="480" w:lineRule="auto"/>
      </w:pPr>
      <w:r>
        <w:t xml:space="preserve">Introduction: The increase in the number of </w:t>
      </w:r>
      <w:r>
        <w:rPr>
          <w:rStyle w:val="Strong"/>
        </w:rPr>
        <w:t>patients</w:t>
      </w:r>
      <w:r>
        <w:t xml:space="preserve"> with chronic kidney disease (CKD) who require renal replacement therapy is a fact in our healthcare environment. Hemodialysis (HD) is one of the alternative treatments of choice for these </w:t>
      </w:r>
      <w:r>
        <w:rPr>
          <w:rStyle w:val="Strong"/>
        </w:rPr>
        <w:t>patients</w:t>
      </w:r>
      <w:r>
        <w:t xml:space="preserve">. The </w:t>
      </w:r>
      <w:r>
        <w:rPr>
          <w:rStyle w:val="Strong"/>
        </w:rPr>
        <w:t>patients</w:t>
      </w:r>
      <w:r>
        <w:t xml:space="preserve"> often have doubts and </w:t>
      </w:r>
      <w:proofErr w:type="spellStart"/>
      <w:r>
        <w:t>behaviours</w:t>
      </w:r>
      <w:proofErr w:type="spellEnd"/>
      <w:r>
        <w:t xml:space="preserve"> that suggest a lack of knowledge on hemodialysis and aspects around it such as forgetting medication and ignorance of dietary rules among others. The lack of such knowledge can lead to treatment no adherence what establish </w:t>
      </w:r>
      <w:proofErr w:type="spellStart"/>
      <w:proofErr w:type="gramStart"/>
      <w:r>
        <w:t>a</w:t>
      </w:r>
      <w:proofErr w:type="spellEnd"/>
      <w:proofErr w:type="gramEnd"/>
      <w:r>
        <w:t xml:space="preserve"> important health problem. The aim of our study was to analyze the information and knowledge grade in </w:t>
      </w:r>
      <w:proofErr w:type="spellStart"/>
      <w:r>
        <w:t>hemodialyzated</w:t>
      </w:r>
      <w:proofErr w:type="spellEnd"/>
      <w:r>
        <w:t xml:space="preserve"> </w:t>
      </w:r>
      <w:r>
        <w:rPr>
          <w:rStyle w:val="Strong"/>
        </w:rPr>
        <w:t>patients</w:t>
      </w:r>
      <w:r>
        <w:t xml:space="preserve"> about the HD, diet, medication and their vascular access (VA). Material and methods: We did a cross-sectional study in which, with </w:t>
      </w:r>
      <w:proofErr w:type="spellStart"/>
      <w:proofErr w:type="gramStart"/>
      <w:r>
        <w:t>a</w:t>
      </w:r>
      <w:proofErr w:type="spellEnd"/>
      <w:proofErr w:type="gramEnd"/>
      <w:r>
        <w:t xml:space="preserve"> inquiry, we studied the knowledge grade about hemodialysis treatment in </w:t>
      </w:r>
      <w:r>
        <w:rPr>
          <w:rStyle w:val="Strong"/>
        </w:rPr>
        <w:t>patients</w:t>
      </w:r>
      <w:r>
        <w:t xml:space="preserve"> with CKD who received hemodialysis at the '</w:t>
      </w:r>
      <w:proofErr w:type="spellStart"/>
      <w:r>
        <w:t>Fundación</w:t>
      </w:r>
      <w:proofErr w:type="spellEnd"/>
      <w:r>
        <w:t xml:space="preserve"> Jiménez </w:t>
      </w:r>
      <w:proofErr w:type="spellStart"/>
      <w:r>
        <w:t>Díaz</w:t>
      </w:r>
      <w:proofErr w:type="spellEnd"/>
      <w:r>
        <w:t xml:space="preserve"> Hospital'. 32 </w:t>
      </w:r>
      <w:r>
        <w:rPr>
          <w:rStyle w:val="Strong"/>
        </w:rPr>
        <w:t>patients</w:t>
      </w:r>
      <w:r>
        <w:t xml:space="preserve"> were evaluated, for statistical analysis the mean and standard deviation for </w:t>
      </w:r>
      <w:r>
        <w:rPr>
          <w:rStyle w:val="Strong"/>
        </w:rPr>
        <w:t>quantitative</w:t>
      </w:r>
      <w:r>
        <w:t xml:space="preserve"> variables, and frequency table and contingency tables for </w:t>
      </w:r>
      <w:r>
        <w:rPr>
          <w:rStyle w:val="Strong"/>
        </w:rPr>
        <w:t>qualitative</w:t>
      </w:r>
      <w:r>
        <w:t xml:space="preserve"> variables was used. For hypothesis testing the test of Chi-square test was used. Results: The successes rate was 14.44 ± 2.75, a total of 18 questions. Our </w:t>
      </w:r>
      <w:r>
        <w:rPr>
          <w:rStyle w:val="Strong"/>
        </w:rPr>
        <w:t>patients</w:t>
      </w:r>
      <w:r>
        <w:t xml:space="preserve"> generally have mid / high knowledge, dependent on age, occupation and if they cook their own food. Conclusions: According to others studies we believe to keep a continuous </w:t>
      </w:r>
      <w:r>
        <w:rPr>
          <w:rStyle w:val="Strong"/>
        </w:rPr>
        <w:t>education</w:t>
      </w:r>
      <w:r>
        <w:t xml:space="preserve"> throughout treatment is essential, in addition to periodic reviews to indicate the knowledge grade.</w:t>
      </w:r>
    </w:p>
    <w:p w:rsidR="007473B6" w:rsidRDefault="007473B6" w:rsidP="006F6798">
      <w:pPr>
        <w:spacing w:line="480" w:lineRule="auto"/>
      </w:pPr>
    </w:p>
    <w:p w:rsidR="007473B6" w:rsidRDefault="007473B6" w:rsidP="006F6798">
      <w:pPr>
        <w:spacing w:line="480" w:lineRule="auto"/>
      </w:pPr>
      <w:proofErr w:type="spellStart"/>
      <w:proofErr w:type="gramStart"/>
      <w:r>
        <w:t>Tobiano</w:t>
      </w:r>
      <w:proofErr w:type="spellEnd"/>
      <w:r>
        <w:t xml:space="preserve">, G., Marshall, A., </w:t>
      </w:r>
      <w:proofErr w:type="spellStart"/>
      <w:r>
        <w:t>Bucknall</w:t>
      </w:r>
      <w:proofErr w:type="spellEnd"/>
      <w:r>
        <w:t xml:space="preserve">, T., &amp; </w:t>
      </w:r>
      <w:proofErr w:type="spellStart"/>
      <w:r>
        <w:t>Chaboyer</w:t>
      </w:r>
      <w:proofErr w:type="spellEnd"/>
      <w:r>
        <w:t>, W. (2015).</w:t>
      </w:r>
      <w:proofErr w:type="gramEnd"/>
      <w:r>
        <w:t xml:space="preserve"> Patient participation in nursing care on medical wards: An integrative review. </w:t>
      </w:r>
      <w:r>
        <w:rPr>
          <w:i/>
          <w:iCs/>
        </w:rPr>
        <w:t xml:space="preserve">International Journal </w:t>
      </w:r>
      <w:proofErr w:type="gramStart"/>
      <w:r>
        <w:rPr>
          <w:i/>
          <w:iCs/>
        </w:rPr>
        <w:t>Of</w:t>
      </w:r>
      <w:proofErr w:type="gramEnd"/>
      <w:r>
        <w:rPr>
          <w:i/>
          <w:iCs/>
        </w:rPr>
        <w:t xml:space="preserve"> Nursing Studies</w:t>
      </w:r>
      <w:r>
        <w:t xml:space="preserve">, </w:t>
      </w:r>
      <w:r>
        <w:rPr>
          <w:i/>
          <w:iCs/>
        </w:rPr>
        <w:t>52</w:t>
      </w:r>
      <w:r>
        <w:t>(6), 1107-1120. doi:10.1016/j.ijnurstu.2015.02.010</w:t>
      </w:r>
    </w:p>
    <w:p w:rsidR="00EC1C30" w:rsidRPr="00EC1C30" w:rsidRDefault="00EC1C30" w:rsidP="00EC1C30">
      <w:pPr>
        <w:spacing w:after="0" w:line="240" w:lineRule="auto"/>
        <w:rPr>
          <w:rFonts w:ascii="Times New Roman" w:eastAsia="Times New Roman" w:hAnsi="Times New Roman" w:cs="Times New Roman"/>
          <w:sz w:val="24"/>
          <w:szCs w:val="24"/>
        </w:rPr>
      </w:pPr>
      <w:bookmarkStart w:id="0" w:name="_GoBack"/>
      <w:r w:rsidRPr="00EC1C30">
        <w:rPr>
          <w:rFonts w:ascii="Times New Roman" w:eastAsia="Times New Roman" w:hAnsi="Times New Roman" w:cs="Times New Roman"/>
          <w:sz w:val="24"/>
          <w:szCs w:val="24"/>
        </w:rPr>
        <w:lastRenderedPageBreak/>
        <w:t>Abstract:</w:t>
      </w:r>
    </w:p>
    <w:p w:rsidR="00EC1C30" w:rsidRPr="00EC1C30" w:rsidRDefault="00EC1C30" w:rsidP="00EC1C30">
      <w:pPr>
        <w:spacing w:after="0" w:line="240" w:lineRule="auto"/>
        <w:ind w:left="720"/>
        <w:rPr>
          <w:rFonts w:ascii="Times New Roman" w:eastAsia="Times New Roman" w:hAnsi="Times New Roman" w:cs="Times New Roman"/>
          <w:sz w:val="24"/>
          <w:szCs w:val="24"/>
        </w:rPr>
      </w:pPr>
      <w:r w:rsidRPr="00EC1C30">
        <w:rPr>
          <w:rFonts w:ascii="Times New Roman" w:eastAsia="Times New Roman" w:hAnsi="Times New Roman" w:cs="Times New Roman"/>
          <w:sz w:val="24"/>
          <w:szCs w:val="24"/>
        </w:rPr>
        <w:t xml:space="preserve">Background: </w:t>
      </w:r>
      <w:r w:rsidRPr="00EC1C30">
        <w:rPr>
          <w:rFonts w:ascii="Times New Roman" w:eastAsia="Times New Roman" w:hAnsi="Times New Roman" w:cs="Times New Roman"/>
          <w:b/>
          <w:bCs/>
          <w:sz w:val="24"/>
          <w:szCs w:val="24"/>
        </w:rPr>
        <w:t>Patient</w:t>
      </w:r>
      <w:r w:rsidRPr="00EC1C30">
        <w:rPr>
          <w:rFonts w:ascii="Times New Roman" w:eastAsia="Times New Roman" w:hAnsi="Times New Roman" w:cs="Times New Roman"/>
          <w:sz w:val="24"/>
          <w:szCs w:val="24"/>
        </w:rPr>
        <w:t xml:space="preserve"> participation is a way for </w:t>
      </w:r>
      <w:r w:rsidRPr="00EC1C30">
        <w:rPr>
          <w:rFonts w:ascii="Times New Roman" w:eastAsia="Times New Roman" w:hAnsi="Times New Roman" w:cs="Times New Roman"/>
          <w:b/>
          <w:bCs/>
          <w:sz w:val="24"/>
          <w:szCs w:val="24"/>
        </w:rPr>
        <w:t>patients</w:t>
      </w:r>
      <w:r w:rsidRPr="00EC1C30">
        <w:rPr>
          <w:rFonts w:ascii="Times New Roman" w:eastAsia="Times New Roman" w:hAnsi="Times New Roman" w:cs="Times New Roman"/>
          <w:sz w:val="24"/>
          <w:szCs w:val="24"/>
        </w:rPr>
        <w:t xml:space="preserve"> to engage in their nursing care. In view of the possible link between </w:t>
      </w:r>
      <w:r w:rsidRPr="00EC1C30">
        <w:rPr>
          <w:rFonts w:ascii="Times New Roman" w:eastAsia="Times New Roman" w:hAnsi="Times New Roman" w:cs="Times New Roman"/>
          <w:b/>
          <w:bCs/>
          <w:sz w:val="24"/>
          <w:szCs w:val="24"/>
        </w:rPr>
        <w:t>patient</w:t>
      </w:r>
      <w:r w:rsidRPr="00EC1C30">
        <w:rPr>
          <w:rFonts w:ascii="Times New Roman" w:eastAsia="Times New Roman" w:hAnsi="Times New Roman" w:cs="Times New Roman"/>
          <w:sz w:val="24"/>
          <w:szCs w:val="24"/>
        </w:rPr>
        <w:t xml:space="preserve"> participation and safety, there is a need for an updated review to assess </w:t>
      </w:r>
      <w:r w:rsidRPr="00EC1C30">
        <w:rPr>
          <w:rFonts w:ascii="Times New Roman" w:eastAsia="Times New Roman" w:hAnsi="Times New Roman" w:cs="Times New Roman"/>
          <w:b/>
          <w:bCs/>
          <w:sz w:val="24"/>
          <w:szCs w:val="24"/>
        </w:rPr>
        <w:t>patient</w:t>
      </w:r>
      <w:r w:rsidRPr="00EC1C30">
        <w:rPr>
          <w:rFonts w:ascii="Times New Roman" w:eastAsia="Times New Roman" w:hAnsi="Times New Roman" w:cs="Times New Roman"/>
          <w:sz w:val="24"/>
          <w:szCs w:val="24"/>
        </w:rPr>
        <w:t xml:space="preserve"> participation in nursing care. Objectives: To investigate </w:t>
      </w:r>
      <w:r w:rsidRPr="00EC1C30">
        <w:rPr>
          <w:rFonts w:ascii="Times New Roman" w:eastAsia="Times New Roman" w:hAnsi="Times New Roman" w:cs="Times New Roman"/>
          <w:b/>
          <w:bCs/>
          <w:sz w:val="24"/>
          <w:szCs w:val="24"/>
        </w:rPr>
        <w:t>patients</w:t>
      </w:r>
      <w:r w:rsidRPr="00EC1C30">
        <w:rPr>
          <w:rFonts w:ascii="Times New Roman" w:eastAsia="Times New Roman" w:hAnsi="Times New Roman" w:cs="Times New Roman"/>
          <w:sz w:val="24"/>
          <w:szCs w:val="24"/>
        </w:rPr>
        <w:t xml:space="preserve">' and nurses' perceptions of and </w:t>
      </w:r>
      <w:proofErr w:type="spellStart"/>
      <w:r w:rsidRPr="00EC1C30">
        <w:rPr>
          <w:rFonts w:ascii="Times New Roman" w:eastAsia="Times New Roman" w:hAnsi="Times New Roman" w:cs="Times New Roman"/>
          <w:sz w:val="24"/>
          <w:szCs w:val="24"/>
        </w:rPr>
        <w:t>behaviours</w:t>
      </w:r>
      <w:proofErr w:type="spellEnd"/>
      <w:r w:rsidRPr="00EC1C30">
        <w:rPr>
          <w:rFonts w:ascii="Times New Roman" w:eastAsia="Times New Roman" w:hAnsi="Times New Roman" w:cs="Times New Roman"/>
          <w:sz w:val="24"/>
          <w:szCs w:val="24"/>
        </w:rPr>
        <w:t xml:space="preserve"> towards </w:t>
      </w:r>
      <w:r w:rsidRPr="00EC1C30">
        <w:rPr>
          <w:rFonts w:ascii="Times New Roman" w:eastAsia="Times New Roman" w:hAnsi="Times New Roman" w:cs="Times New Roman"/>
          <w:b/>
          <w:bCs/>
          <w:sz w:val="24"/>
          <w:szCs w:val="24"/>
        </w:rPr>
        <w:t>patient</w:t>
      </w:r>
      <w:r w:rsidRPr="00EC1C30">
        <w:rPr>
          <w:rFonts w:ascii="Times New Roman" w:eastAsia="Times New Roman" w:hAnsi="Times New Roman" w:cs="Times New Roman"/>
          <w:sz w:val="24"/>
          <w:szCs w:val="24"/>
        </w:rPr>
        <w:t xml:space="preserve"> participation in nursing care in the context of hospital medical wards. Design: Integrative review. Data sources: Three search strategies were employed in August 2013; a </w:t>
      </w:r>
      <w:proofErr w:type="spellStart"/>
      <w:r w:rsidRPr="00EC1C30">
        <w:rPr>
          <w:rFonts w:ascii="Times New Roman" w:eastAsia="Times New Roman" w:hAnsi="Times New Roman" w:cs="Times New Roman"/>
          <w:sz w:val="24"/>
          <w:szCs w:val="24"/>
        </w:rPr>
        <w:t>computerised</w:t>
      </w:r>
      <w:proofErr w:type="spellEnd"/>
      <w:r w:rsidRPr="00EC1C30">
        <w:rPr>
          <w:rFonts w:ascii="Times New Roman" w:eastAsia="Times New Roman" w:hAnsi="Times New Roman" w:cs="Times New Roman"/>
          <w:sz w:val="24"/>
          <w:szCs w:val="24"/>
        </w:rPr>
        <w:t xml:space="preserve"> database search of Cumulative Index of Nursing and Allied Health Literature, Cochrane Library, Medline and </w:t>
      </w:r>
      <w:proofErr w:type="spellStart"/>
      <w:r w:rsidRPr="00EC1C30">
        <w:rPr>
          <w:rFonts w:ascii="Times New Roman" w:eastAsia="Times New Roman" w:hAnsi="Times New Roman" w:cs="Times New Roman"/>
          <w:sz w:val="24"/>
          <w:szCs w:val="24"/>
        </w:rPr>
        <w:t>PsychINFO</w:t>
      </w:r>
      <w:proofErr w:type="spellEnd"/>
      <w:r w:rsidRPr="00EC1C30">
        <w:rPr>
          <w:rFonts w:ascii="Times New Roman" w:eastAsia="Times New Roman" w:hAnsi="Times New Roman" w:cs="Times New Roman"/>
          <w:sz w:val="24"/>
          <w:szCs w:val="24"/>
        </w:rPr>
        <w:t xml:space="preserve">; reference lists were hand-searched; and forward citation searching was executed. Review methods: After reviewing the studies, extracting study data and completing summary tables the methodological quality was assessed using the Mixed-Methods Assessment Tool by two reviewers. Reviewers met then to discuss discrepancies as well as the overall strengths and limitations of the studies. Discrepancies were overcome through consensus or a third reviewer adjudicated the issue. Within and across study analysis and synthesis of the findings sections was undertaken using thematic synthesis. Results: Eight studies met inclusion criteria. Four themes were identified - enacting participation, challenges to participation, promoting participation and types of participation. Most studies included were conducted in Europe. The majority of studies used </w:t>
      </w:r>
      <w:r w:rsidRPr="00EC1C30">
        <w:rPr>
          <w:rFonts w:ascii="Times New Roman" w:eastAsia="Times New Roman" w:hAnsi="Times New Roman" w:cs="Times New Roman"/>
          <w:b/>
          <w:bCs/>
          <w:sz w:val="24"/>
          <w:szCs w:val="24"/>
        </w:rPr>
        <w:t>qualitative</w:t>
      </w:r>
      <w:r w:rsidRPr="00EC1C30">
        <w:rPr>
          <w:rFonts w:ascii="Times New Roman" w:eastAsia="Times New Roman" w:hAnsi="Times New Roman" w:cs="Times New Roman"/>
          <w:sz w:val="24"/>
          <w:szCs w:val="24"/>
        </w:rPr>
        <w:t xml:space="preserve"> methodologies, with all studies sampling </w:t>
      </w:r>
      <w:r w:rsidRPr="00EC1C30">
        <w:rPr>
          <w:rFonts w:ascii="Times New Roman" w:eastAsia="Times New Roman" w:hAnsi="Times New Roman" w:cs="Times New Roman"/>
          <w:b/>
          <w:bCs/>
          <w:sz w:val="24"/>
          <w:szCs w:val="24"/>
        </w:rPr>
        <w:t>patients</w:t>
      </w:r>
      <w:r w:rsidRPr="00EC1C30">
        <w:rPr>
          <w:rFonts w:ascii="Times New Roman" w:eastAsia="Times New Roman" w:hAnsi="Times New Roman" w:cs="Times New Roman"/>
          <w:sz w:val="24"/>
          <w:szCs w:val="24"/>
        </w:rPr>
        <w:t xml:space="preserve">; nurses were included in three studies. Data were largely collected using self-reported perceptions; two studies included observational data. Methodological issues included a lack of reflexivity, </w:t>
      </w:r>
      <w:proofErr w:type="spellStart"/>
      <w:r w:rsidRPr="00EC1C30">
        <w:rPr>
          <w:rFonts w:ascii="Times New Roman" w:eastAsia="Times New Roman" w:hAnsi="Times New Roman" w:cs="Times New Roman"/>
          <w:sz w:val="24"/>
          <w:szCs w:val="24"/>
        </w:rPr>
        <w:t>unvalidated</w:t>
      </w:r>
      <w:proofErr w:type="spellEnd"/>
      <w:r w:rsidRPr="00EC1C30">
        <w:rPr>
          <w:rFonts w:ascii="Times New Roman" w:eastAsia="Times New Roman" w:hAnsi="Times New Roman" w:cs="Times New Roman"/>
          <w:sz w:val="24"/>
          <w:szCs w:val="24"/>
        </w:rPr>
        <w:t xml:space="preserve"> data collection tools, sampling issues and low response rates. Conclusions: On medical wards, </w:t>
      </w:r>
      <w:r w:rsidRPr="00EC1C30">
        <w:rPr>
          <w:rFonts w:ascii="Times New Roman" w:eastAsia="Times New Roman" w:hAnsi="Times New Roman" w:cs="Times New Roman"/>
          <w:b/>
          <w:bCs/>
          <w:sz w:val="24"/>
          <w:szCs w:val="24"/>
        </w:rPr>
        <w:t>patients</w:t>
      </w:r>
      <w:r w:rsidRPr="00EC1C30">
        <w:rPr>
          <w:rFonts w:ascii="Times New Roman" w:eastAsia="Times New Roman" w:hAnsi="Times New Roman" w:cs="Times New Roman"/>
          <w:sz w:val="24"/>
          <w:szCs w:val="24"/>
        </w:rPr>
        <w:t xml:space="preserve"> and nurses desire, perceive or enact </w:t>
      </w:r>
      <w:r w:rsidRPr="00EC1C30">
        <w:rPr>
          <w:rFonts w:ascii="Times New Roman" w:eastAsia="Times New Roman" w:hAnsi="Times New Roman" w:cs="Times New Roman"/>
          <w:b/>
          <w:bCs/>
          <w:sz w:val="24"/>
          <w:szCs w:val="24"/>
        </w:rPr>
        <w:t>patient</w:t>
      </w:r>
      <w:r w:rsidRPr="00EC1C30">
        <w:rPr>
          <w:rFonts w:ascii="Times New Roman" w:eastAsia="Times New Roman" w:hAnsi="Times New Roman" w:cs="Times New Roman"/>
          <w:sz w:val="24"/>
          <w:szCs w:val="24"/>
        </w:rPr>
        <w:t xml:space="preserve"> participation passively. Challenging factors for </w:t>
      </w:r>
      <w:r w:rsidRPr="00EC1C30">
        <w:rPr>
          <w:rFonts w:ascii="Times New Roman" w:eastAsia="Times New Roman" w:hAnsi="Times New Roman" w:cs="Times New Roman"/>
          <w:b/>
          <w:bCs/>
          <w:sz w:val="24"/>
          <w:szCs w:val="24"/>
        </w:rPr>
        <w:t>patient</w:t>
      </w:r>
      <w:r w:rsidRPr="00EC1C30">
        <w:rPr>
          <w:rFonts w:ascii="Times New Roman" w:eastAsia="Times New Roman" w:hAnsi="Times New Roman" w:cs="Times New Roman"/>
          <w:sz w:val="24"/>
          <w:szCs w:val="24"/>
        </w:rPr>
        <w:t xml:space="preserve"> participation include </w:t>
      </w:r>
      <w:r w:rsidRPr="00EC1C30">
        <w:rPr>
          <w:rFonts w:ascii="Times New Roman" w:eastAsia="Times New Roman" w:hAnsi="Times New Roman" w:cs="Times New Roman"/>
          <w:b/>
          <w:bCs/>
          <w:sz w:val="24"/>
          <w:szCs w:val="24"/>
        </w:rPr>
        <w:t>patients</w:t>
      </w:r>
      <w:r w:rsidRPr="00EC1C30">
        <w:rPr>
          <w:rFonts w:ascii="Times New Roman" w:eastAsia="Times New Roman" w:hAnsi="Times New Roman" w:cs="Times New Roman"/>
          <w:sz w:val="24"/>
          <w:szCs w:val="24"/>
        </w:rPr>
        <w:t xml:space="preserve">' willingness, nurses' approach and confusion around expectations and roles. Information-sharing was identified as an activity that promotes </w:t>
      </w:r>
      <w:r w:rsidRPr="00EC1C30">
        <w:rPr>
          <w:rFonts w:ascii="Times New Roman" w:eastAsia="Times New Roman" w:hAnsi="Times New Roman" w:cs="Times New Roman"/>
          <w:b/>
          <w:bCs/>
          <w:sz w:val="24"/>
          <w:szCs w:val="24"/>
        </w:rPr>
        <w:t>patient</w:t>
      </w:r>
      <w:r w:rsidRPr="00EC1C30">
        <w:rPr>
          <w:rFonts w:ascii="Times New Roman" w:eastAsia="Times New Roman" w:hAnsi="Times New Roman" w:cs="Times New Roman"/>
          <w:sz w:val="24"/>
          <w:szCs w:val="24"/>
        </w:rPr>
        <w:t xml:space="preserve"> participation, suggesting nurses encourage active communication with </w:t>
      </w:r>
      <w:r w:rsidRPr="00EC1C30">
        <w:rPr>
          <w:rFonts w:ascii="Times New Roman" w:eastAsia="Times New Roman" w:hAnsi="Times New Roman" w:cs="Times New Roman"/>
          <w:b/>
          <w:bCs/>
          <w:sz w:val="24"/>
          <w:szCs w:val="24"/>
        </w:rPr>
        <w:t>patients</w:t>
      </w:r>
      <w:r w:rsidRPr="00EC1C30">
        <w:rPr>
          <w:rFonts w:ascii="Times New Roman" w:eastAsia="Times New Roman" w:hAnsi="Times New Roman" w:cs="Times New Roman"/>
          <w:sz w:val="24"/>
          <w:szCs w:val="24"/>
        </w:rPr>
        <w:t xml:space="preserve"> in practice. Involving </w:t>
      </w:r>
      <w:r w:rsidRPr="00EC1C30">
        <w:rPr>
          <w:rFonts w:ascii="Times New Roman" w:eastAsia="Times New Roman" w:hAnsi="Times New Roman" w:cs="Times New Roman"/>
          <w:b/>
          <w:bCs/>
          <w:sz w:val="24"/>
          <w:szCs w:val="24"/>
        </w:rPr>
        <w:t>patients</w:t>
      </w:r>
      <w:r w:rsidRPr="00EC1C30">
        <w:rPr>
          <w:rFonts w:ascii="Times New Roman" w:eastAsia="Times New Roman" w:hAnsi="Times New Roman" w:cs="Times New Roman"/>
          <w:sz w:val="24"/>
          <w:szCs w:val="24"/>
        </w:rPr>
        <w:t xml:space="preserve"> in assessment and care planning may also enhance </w:t>
      </w:r>
      <w:r w:rsidRPr="00EC1C30">
        <w:rPr>
          <w:rFonts w:ascii="Times New Roman" w:eastAsia="Times New Roman" w:hAnsi="Times New Roman" w:cs="Times New Roman"/>
          <w:b/>
          <w:bCs/>
          <w:sz w:val="24"/>
          <w:szCs w:val="24"/>
        </w:rPr>
        <w:t>patient</w:t>
      </w:r>
      <w:r w:rsidRPr="00EC1C30">
        <w:rPr>
          <w:rFonts w:ascii="Times New Roman" w:eastAsia="Times New Roman" w:hAnsi="Times New Roman" w:cs="Times New Roman"/>
          <w:sz w:val="24"/>
          <w:szCs w:val="24"/>
        </w:rPr>
        <w:t xml:space="preserve"> participation. For </w:t>
      </w:r>
      <w:r w:rsidRPr="00EC1C30">
        <w:rPr>
          <w:rFonts w:ascii="Times New Roman" w:eastAsia="Times New Roman" w:hAnsi="Times New Roman" w:cs="Times New Roman"/>
          <w:b/>
          <w:bCs/>
          <w:sz w:val="24"/>
          <w:szCs w:val="24"/>
        </w:rPr>
        <w:t>education</w:t>
      </w:r>
      <w:r w:rsidRPr="00EC1C30">
        <w:rPr>
          <w:rFonts w:ascii="Times New Roman" w:eastAsia="Times New Roman" w:hAnsi="Times New Roman" w:cs="Times New Roman"/>
          <w:sz w:val="24"/>
          <w:szCs w:val="24"/>
        </w:rPr>
        <w:t xml:space="preserve">, enhancing nurses' understanding of the attributes of </w:t>
      </w:r>
      <w:r w:rsidRPr="00EC1C30">
        <w:rPr>
          <w:rFonts w:ascii="Times New Roman" w:eastAsia="Times New Roman" w:hAnsi="Times New Roman" w:cs="Times New Roman"/>
          <w:b/>
          <w:bCs/>
          <w:sz w:val="24"/>
          <w:szCs w:val="24"/>
        </w:rPr>
        <w:t>patient</w:t>
      </w:r>
      <w:r w:rsidRPr="00EC1C30">
        <w:rPr>
          <w:rFonts w:ascii="Times New Roman" w:eastAsia="Times New Roman" w:hAnsi="Times New Roman" w:cs="Times New Roman"/>
          <w:sz w:val="24"/>
          <w:szCs w:val="24"/>
        </w:rPr>
        <w:t xml:space="preserve"> participation, as well as </w:t>
      </w:r>
      <w:r w:rsidRPr="00EC1C30">
        <w:rPr>
          <w:rFonts w:ascii="Times New Roman" w:eastAsia="Times New Roman" w:hAnsi="Times New Roman" w:cs="Times New Roman"/>
          <w:b/>
          <w:bCs/>
          <w:sz w:val="24"/>
          <w:szCs w:val="24"/>
        </w:rPr>
        <w:t>patient</w:t>
      </w:r>
      <w:r w:rsidRPr="00EC1C30">
        <w:rPr>
          <w:rFonts w:ascii="Times New Roman" w:eastAsia="Times New Roman" w:hAnsi="Times New Roman" w:cs="Times New Roman"/>
          <w:sz w:val="24"/>
          <w:szCs w:val="24"/>
        </w:rPr>
        <w:t>-</w:t>
      </w:r>
      <w:proofErr w:type="spellStart"/>
      <w:r w:rsidRPr="00EC1C30">
        <w:rPr>
          <w:rFonts w:ascii="Times New Roman" w:eastAsia="Times New Roman" w:hAnsi="Times New Roman" w:cs="Times New Roman"/>
          <w:sz w:val="24"/>
          <w:szCs w:val="24"/>
        </w:rPr>
        <w:t>centred</w:t>
      </w:r>
      <w:proofErr w:type="spellEnd"/>
      <w:r w:rsidRPr="00EC1C30">
        <w:rPr>
          <w:rFonts w:ascii="Times New Roman" w:eastAsia="Times New Roman" w:hAnsi="Times New Roman" w:cs="Times New Roman"/>
          <w:sz w:val="24"/>
          <w:szCs w:val="24"/>
        </w:rPr>
        <w:t xml:space="preserve"> care approaches may be beneficial for medical ward nurses. From here, researchers need to examine ways to overcome the barriers to </w:t>
      </w:r>
      <w:r w:rsidRPr="00EC1C30">
        <w:rPr>
          <w:rFonts w:ascii="Times New Roman" w:eastAsia="Times New Roman" w:hAnsi="Times New Roman" w:cs="Times New Roman"/>
          <w:b/>
          <w:bCs/>
          <w:sz w:val="24"/>
          <w:szCs w:val="24"/>
        </w:rPr>
        <w:t>patient</w:t>
      </w:r>
      <w:r w:rsidRPr="00EC1C30">
        <w:rPr>
          <w:rFonts w:ascii="Times New Roman" w:eastAsia="Times New Roman" w:hAnsi="Times New Roman" w:cs="Times New Roman"/>
          <w:sz w:val="24"/>
          <w:szCs w:val="24"/>
        </w:rPr>
        <w:t xml:space="preserve"> participation; further nurse participants and observational data is required on medical wards.</w:t>
      </w:r>
    </w:p>
    <w:p w:rsidR="00EC1C30" w:rsidRPr="00417A53" w:rsidRDefault="00EC1C30" w:rsidP="006F6798">
      <w:pPr>
        <w:spacing w:line="480" w:lineRule="auto"/>
        <w:rPr>
          <w:rFonts w:ascii="Times New Roman" w:hAnsi="Times New Roman" w:cs="Times New Roman"/>
          <w:sz w:val="24"/>
          <w:szCs w:val="24"/>
        </w:rPr>
      </w:pPr>
    </w:p>
    <w:p w:rsidR="006F6798" w:rsidRPr="00BA1E70" w:rsidRDefault="006F6798" w:rsidP="006F6798">
      <w:pPr>
        <w:spacing w:line="480" w:lineRule="auto"/>
        <w:rPr>
          <w:rFonts w:ascii="Times New Roman" w:hAnsi="Times New Roman" w:cs="Times New Roman"/>
          <w:sz w:val="24"/>
          <w:szCs w:val="24"/>
        </w:rPr>
      </w:pPr>
    </w:p>
    <w:bookmarkEnd w:id="0"/>
    <w:p w:rsidR="00B7203A" w:rsidRDefault="00B7203A"/>
    <w:sectPr w:rsidR="00B720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B23" w:rsidRDefault="00291B23">
      <w:pPr>
        <w:spacing w:after="0" w:line="240" w:lineRule="auto"/>
      </w:pPr>
      <w:r>
        <w:separator/>
      </w:r>
    </w:p>
  </w:endnote>
  <w:endnote w:type="continuationSeparator" w:id="0">
    <w:p w:rsidR="00291B23" w:rsidRDefault="0029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B23" w:rsidRDefault="00291B23">
      <w:pPr>
        <w:spacing w:after="0" w:line="240" w:lineRule="auto"/>
      </w:pPr>
      <w:r>
        <w:separator/>
      </w:r>
    </w:p>
  </w:footnote>
  <w:footnote w:type="continuationSeparator" w:id="0">
    <w:p w:rsidR="00291B23" w:rsidRDefault="00291B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03A" w:rsidRDefault="00B7203A">
    <w:pPr>
      <w:pStyle w:val="Header"/>
    </w:pPr>
    <w:r>
      <w:t>Picot Question and References</w:t>
    </w:r>
    <w:r>
      <w:tab/>
    </w:r>
    <w:r>
      <w:tab/>
    </w:r>
    <w:r>
      <w:fldChar w:fldCharType="begin"/>
    </w:r>
    <w:r>
      <w:instrText xml:space="preserve"> PAGE   \* MERGEFORMAT </w:instrText>
    </w:r>
    <w:r>
      <w:fldChar w:fldCharType="separate"/>
    </w:r>
    <w:r w:rsidR="004D33C2">
      <w:rPr>
        <w:noProof/>
      </w:rPr>
      <w:t>7</w:t>
    </w:r>
    <w:r>
      <w:rPr>
        <w:noProof/>
      </w:rPr>
      <w:fldChar w:fldCharType="end"/>
    </w:r>
  </w:p>
  <w:p w:rsidR="00B7203A" w:rsidRDefault="00B720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72B"/>
    <w:rsid w:val="00291B23"/>
    <w:rsid w:val="00331BA1"/>
    <w:rsid w:val="003D5BB0"/>
    <w:rsid w:val="00460C3B"/>
    <w:rsid w:val="004B3D86"/>
    <w:rsid w:val="004D33C2"/>
    <w:rsid w:val="005D3580"/>
    <w:rsid w:val="006D565F"/>
    <w:rsid w:val="006F6798"/>
    <w:rsid w:val="00742FCB"/>
    <w:rsid w:val="007473B6"/>
    <w:rsid w:val="009C5FFA"/>
    <w:rsid w:val="00A144EF"/>
    <w:rsid w:val="00B37336"/>
    <w:rsid w:val="00B7203A"/>
    <w:rsid w:val="00D85799"/>
    <w:rsid w:val="00EC1C30"/>
    <w:rsid w:val="00EE5BF4"/>
    <w:rsid w:val="00F1672B"/>
    <w:rsid w:val="00F6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79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798"/>
  </w:style>
  <w:style w:type="character" w:styleId="Hyperlink">
    <w:name w:val="Hyperlink"/>
    <w:basedOn w:val="DefaultParagraphFont"/>
    <w:uiPriority w:val="99"/>
    <w:unhideWhenUsed/>
    <w:rsid w:val="006D565F"/>
    <w:rPr>
      <w:color w:val="0000FF" w:themeColor="hyperlink"/>
      <w:u w:val="single"/>
    </w:rPr>
  </w:style>
  <w:style w:type="character" w:customStyle="1" w:styleId="citationauthor">
    <w:name w:val="citationauthor"/>
    <w:basedOn w:val="DefaultParagraphFont"/>
    <w:rsid w:val="006D565F"/>
  </w:style>
  <w:style w:type="character" w:customStyle="1" w:styleId="citationdate">
    <w:name w:val="citationdate"/>
    <w:basedOn w:val="DefaultParagraphFont"/>
    <w:rsid w:val="006D565F"/>
  </w:style>
  <w:style w:type="character" w:customStyle="1" w:styleId="citationarticleorsectiontitle">
    <w:name w:val="citationarticleorsectiontitle"/>
    <w:basedOn w:val="DefaultParagraphFont"/>
    <w:rsid w:val="006D565F"/>
  </w:style>
  <w:style w:type="character" w:customStyle="1" w:styleId="citationsource">
    <w:name w:val="citationsource"/>
    <w:basedOn w:val="DefaultParagraphFont"/>
    <w:rsid w:val="006D565F"/>
  </w:style>
  <w:style w:type="character" w:customStyle="1" w:styleId="citationissn">
    <w:name w:val="citationissn"/>
    <w:basedOn w:val="DefaultParagraphFont"/>
    <w:rsid w:val="006D565F"/>
  </w:style>
  <w:style w:type="character" w:customStyle="1" w:styleId="citationvolume">
    <w:name w:val="citationvolume"/>
    <w:basedOn w:val="DefaultParagraphFont"/>
    <w:rsid w:val="006D565F"/>
  </w:style>
  <w:style w:type="character" w:customStyle="1" w:styleId="citationissue">
    <w:name w:val="citationissue"/>
    <w:basedOn w:val="DefaultParagraphFont"/>
    <w:rsid w:val="006D565F"/>
  </w:style>
  <w:style w:type="character" w:customStyle="1" w:styleId="citationspagelabel">
    <w:name w:val="citationspagelabel"/>
    <w:basedOn w:val="DefaultParagraphFont"/>
    <w:rsid w:val="006D565F"/>
  </w:style>
  <w:style w:type="character" w:customStyle="1" w:styleId="citationspagevalue">
    <w:name w:val="citationspagevalue"/>
    <w:basedOn w:val="DefaultParagraphFont"/>
    <w:rsid w:val="006D565F"/>
  </w:style>
  <w:style w:type="character" w:styleId="Strong">
    <w:name w:val="Strong"/>
    <w:basedOn w:val="DefaultParagraphFont"/>
    <w:uiPriority w:val="22"/>
    <w:qFormat/>
    <w:rsid w:val="003D5B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79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798"/>
  </w:style>
  <w:style w:type="character" w:styleId="Hyperlink">
    <w:name w:val="Hyperlink"/>
    <w:basedOn w:val="DefaultParagraphFont"/>
    <w:uiPriority w:val="99"/>
    <w:unhideWhenUsed/>
    <w:rsid w:val="006D565F"/>
    <w:rPr>
      <w:color w:val="0000FF" w:themeColor="hyperlink"/>
      <w:u w:val="single"/>
    </w:rPr>
  </w:style>
  <w:style w:type="character" w:customStyle="1" w:styleId="citationauthor">
    <w:name w:val="citationauthor"/>
    <w:basedOn w:val="DefaultParagraphFont"/>
    <w:rsid w:val="006D565F"/>
  </w:style>
  <w:style w:type="character" w:customStyle="1" w:styleId="citationdate">
    <w:name w:val="citationdate"/>
    <w:basedOn w:val="DefaultParagraphFont"/>
    <w:rsid w:val="006D565F"/>
  </w:style>
  <w:style w:type="character" w:customStyle="1" w:styleId="citationarticleorsectiontitle">
    <w:name w:val="citationarticleorsectiontitle"/>
    <w:basedOn w:val="DefaultParagraphFont"/>
    <w:rsid w:val="006D565F"/>
  </w:style>
  <w:style w:type="character" w:customStyle="1" w:styleId="citationsource">
    <w:name w:val="citationsource"/>
    <w:basedOn w:val="DefaultParagraphFont"/>
    <w:rsid w:val="006D565F"/>
  </w:style>
  <w:style w:type="character" w:customStyle="1" w:styleId="citationissn">
    <w:name w:val="citationissn"/>
    <w:basedOn w:val="DefaultParagraphFont"/>
    <w:rsid w:val="006D565F"/>
  </w:style>
  <w:style w:type="character" w:customStyle="1" w:styleId="citationvolume">
    <w:name w:val="citationvolume"/>
    <w:basedOn w:val="DefaultParagraphFont"/>
    <w:rsid w:val="006D565F"/>
  </w:style>
  <w:style w:type="character" w:customStyle="1" w:styleId="citationissue">
    <w:name w:val="citationissue"/>
    <w:basedOn w:val="DefaultParagraphFont"/>
    <w:rsid w:val="006D565F"/>
  </w:style>
  <w:style w:type="character" w:customStyle="1" w:styleId="citationspagelabel">
    <w:name w:val="citationspagelabel"/>
    <w:basedOn w:val="DefaultParagraphFont"/>
    <w:rsid w:val="006D565F"/>
  </w:style>
  <w:style w:type="character" w:customStyle="1" w:styleId="citationspagevalue">
    <w:name w:val="citationspagevalue"/>
    <w:basedOn w:val="DefaultParagraphFont"/>
    <w:rsid w:val="006D565F"/>
  </w:style>
  <w:style w:type="character" w:styleId="Strong">
    <w:name w:val="Strong"/>
    <w:basedOn w:val="DefaultParagraphFont"/>
    <w:uiPriority w:val="22"/>
    <w:qFormat/>
    <w:rsid w:val="003D5B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621979">
      <w:bodyDiv w:val="1"/>
      <w:marLeft w:val="0"/>
      <w:marRight w:val="0"/>
      <w:marTop w:val="0"/>
      <w:marBottom w:val="0"/>
      <w:divBdr>
        <w:top w:val="none" w:sz="0" w:space="0" w:color="auto"/>
        <w:left w:val="none" w:sz="0" w:space="0" w:color="auto"/>
        <w:bottom w:val="none" w:sz="0" w:space="0" w:color="auto"/>
        <w:right w:val="none" w:sz="0" w:space="0" w:color="auto"/>
      </w:divBdr>
    </w:div>
    <w:div w:id="993802737">
      <w:bodyDiv w:val="1"/>
      <w:marLeft w:val="0"/>
      <w:marRight w:val="0"/>
      <w:marTop w:val="0"/>
      <w:marBottom w:val="0"/>
      <w:divBdr>
        <w:top w:val="none" w:sz="0" w:space="0" w:color="auto"/>
        <w:left w:val="none" w:sz="0" w:space="0" w:color="auto"/>
        <w:bottom w:val="none" w:sz="0" w:space="0" w:color="auto"/>
        <w:right w:val="none" w:sz="0" w:space="0" w:color="auto"/>
      </w:divBdr>
      <w:divsChild>
        <w:div w:id="933054494">
          <w:marLeft w:val="0"/>
          <w:marRight w:val="0"/>
          <w:marTop w:val="0"/>
          <w:marBottom w:val="0"/>
          <w:divBdr>
            <w:top w:val="none" w:sz="0" w:space="0" w:color="auto"/>
            <w:left w:val="none" w:sz="0" w:space="0" w:color="auto"/>
            <w:bottom w:val="none" w:sz="0" w:space="0" w:color="auto"/>
            <w:right w:val="none" w:sz="0" w:space="0" w:color="auto"/>
          </w:divBdr>
        </w:div>
        <w:div w:id="1357316745">
          <w:marLeft w:val="0"/>
          <w:marRight w:val="0"/>
          <w:marTop w:val="0"/>
          <w:marBottom w:val="0"/>
          <w:divBdr>
            <w:top w:val="none" w:sz="0" w:space="0" w:color="auto"/>
            <w:left w:val="none" w:sz="0" w:space="0" w:color="auto"/>
            <w:bottom w:val="none" w:sz="0" w:space="0" w:color="auto"/>
            <w:right w:val="none" w:sz="0" w:space="0" w:color="auto"/>
          </w:divBdr>
        </w:div>
        <w:div w:id="1018505946">
          <w:marLeft w:val="0"/>
          <w:marRight w:val="0"/>
          <w:marTop w:val="0"/>
          <w:marBottom w:val="0"/>
          <w:divBdr>
            <w:top w:val="none" w:sz="0" w:space="0" w:color="auto"/>
            <w:left w:val="none" w:sz="0" w:space="0" w:color="auto"/>
            <w:bottom w:val="none" w:sz="0" w:space="0" w:color="auto"/>
            <w:right w:val="none" w:sz="0" w:space="0" w:color="auto"/>
          </w:divBdr>
        </w:div>
        <w:div w:id="1898711089">
          <w:marLeft w:val="0"/>
          <w:marRight w:val="0"/>
          <w:marTop w:val="0"/>
          <w:marBottom w:val="0"/>
          <w:divBdr>
            <w:top w:val="none" w:sz="0" w:space="0" w:color="auto"/>
            <w:left w:val="none" w:sz="0" w:space="0" w:color="auto"/>
            <w:bottom w:val="none" w:sz="0" w:space="0" w:color="auto"/>
            <w:right w:val="none" w:sz="0" w:space="0" w:color="auto"/>
          </w:divBdr>
        </w:div>
        <w:div w:id="1006710920">
          <w:marLeft w:val="0"/>
          <w:marRight w:val="0"/>
          <w:marTop w:val="0"/>
          <w:marBottom w:val="0"/>
          <w:divBdr>
            <w:top w:val="none" w:sz="0" w:space="0" w:color="auto"/>
            <w:left w:val="none" w:sz="0" w:space="0" w:color="auto"/>
            <w:bottom w:val="none" w:sz="0" w:space="0" w:color="auto"/>
            <w:right w:val="none" w:sz="0" w:space="0" w:color="auto"/>
          </w:divBdr>
        </w:div>
        <w:div w:id="1959794500">
          <w:marLeft w:val="0"/>
          <w:marRight w:val="0"/>
          <w:marTop w:val="0"/>
          <w:marBottom w:val="0"/>
          <w:divBdr>
            <w:top w:val="none" w:sz="0" w:space="0" w:color="auto"/>
            <w:left w:val="none" w:sz="0" w:space="0" w:color="auto"/>
            <w:bottom w:val="none" w:sz="0" w:space="0" w:color="auto"/>
            <w:right w:val="none" w:sz="0" w:space="0" w:color="auto"/>
          </w:divBdr>
        </w:div>
        <w:div w:id="296187988">
          <w:marLeft w:val="0"/>
          <w:marRight w:val="0"/>
          <w:marTop w:val="0"/>
          <w:marBottom w:val="0"/>
          <w:divBdr>
            <w:top w:val="none" w:sz="0" w:space="0" w:color="auto"/>
            <w:left w:val="none" w:sz="0" w:space="0" w:color="auto"/>
            <w:bottom w:val="none" w:sz="0" w:space="0" w:color="auto"/>
            <w:right w:val="none" w:sz="0" w:space="0" w:color="auto"/>
          </w:divBdr>
        </w:div>
        <w:div w:id="1277641172">
          <w:marLeft w:val="0"/>
          <w:marRight w:val="0"/>
          <w:marTop w:val="0"/>
          <w:marBottom w:val="0"/>
          <w:divBdr>
            <w:top w:val="none" w:sz="0" w:space="0" w:color="auto"/>
            <w:left w:val="none" w:sz="0" w:space="0" w:color="auto"/>
            <w:bottom w:val="none" w:sz="0" w:space="0" w:color="auto"/>
            <w:right w:val="none" w:sz="0" w:space="0" w:color="auto"/>
          </w:divBdr>
        </w:div>
        <w:div w:id="2083599569">
          <w:marLeft w:val="0"/>
          <w:marRight w:val="0"/>
          <w:marTop w:val="0"/>
          <w:marBottom w:val="0"/>
          <w:divBdr>
            <w:top w:val="none" w:sz="0" w:space="0" w:color="auto"/>
            <w:left w:val="none" w:sz="0" w:space="0" w:color="auto"/>
            <w:bottom w:val="none" w:sz="0" w:space="0" w:color="auto"/>
            <w:right w:val="none" w:sz="0" w:space="0" w:color="auto"/>
          </w:divBdr>
        </w:div>
        <w:div w:id="1476218094">
          <w:marLeft w:val="0"/>
          <w:marRight w:val="0"/>
          <w:marTop w:val="0"/>
          <w:marBottom w:val="0"/>
          <w:divBdr>
            <w:top w:val="none" w:sz="0" w:space="0" w:color="auto"/>
            <w:left w:val="none" w:sz="0" w:space="0" w:color="auto"/>
            <w:bottom w:val="none" w:sz="0" w:space="0" w:color="auto"/>
            <w:right w:val="none" w:sz="0" w:space="0" w:color="auto"/>
          </w:divBdr>
        </w:div>
        <w:div w:id="1911386822">
          <w:marLeft w:val="0"/>
          <w:marRight w:val="0"/>
          <w:marTop w:val="0"/>
          <w:marBottom w:val="0"/>
          <w:divBdr>
            <w:top w:val="none" w:sz="0" w:space="0" w:color="auto"/>
            <w:left w:val="none" w:sz="0" w:space="0" w:color="auto"/>
            <w:bottom w:val="none" w:sz="0" w:space="0" w:color="auto"/>
            <w:right w:val="none" w:sz="0" w:space="0" w:color="auto"/>
          </w:divBdr>
        </w:div>
        <w:div w:id="1177618606">
          <w:marLeft w:val="0"/>
          <w:marRight w:val="0"/>
          <w:marTop w:val="0"/>
          <w:marBottom w:val="0"/>
          <w:divBdr>
            <w:top w:val="none" w:sz="0" w:space="0" w:color="auto"/>
            <w:left w:val="none" w:sz="0" w:space="0" w:color="auto"/>
            <w:bottom w:val="none" w:sz="0" w:space="0" w:color="auto"/>
            <w:right w:val="none" w:sz="0" w:space="0" w:color="auto"/>
          </w:divBdr>
        </w:div>
        <w:div w:id="1984658291">
          <w:marLeft w:val="0"/>
          <w:marRight w:val="0"/>
          <w:marTop w:val="0"/>
          <w:marBottom w:val="0"/>
          <w:divBdr>
            <w:top w:val="none" w:sz="0" w:space="0" w:color="auto"/>
            <w:left w:val="none" w:sz="0" w:space="0" w:color="auto"/>
            <w:bottom w:val="none" w:sz="0" w:space="0" w:color="auto"/>
            <w:right w:val="none" w:sz="0" w:space="0" w:color="auto"/>
          </w:divBdr>
        </w:div>
        <w:div w:id="530384874">
          <w:marLeft w:val="0"/>
          <w:marRight w:val="0"/>
          <w:marTop w:val="0"/>
          <w:marBottom w:val="0"/>
          <w:divBdr>
            <w:top w:val="none" w:sz="0" w:space="0" w:color="auto"/>
            <w:left w:val="none" w:sz="0" w:space="0" w:color="auto"/>
            <w:bottom w:val="none" w:sz="0" w:space="0" w:color="auto"/>
            <w:right w:val="none" w:sz="0" w:space="0" w:color="auto"/>
          </w:divBdr>
        </w:div>
        <w:div w:id="924387925">
          <w:marLeft w:val="0"/>
          <w:marRight w:val="0"/>
          <w:marTop w:val="0"/>
          <w:marBottom w:val="0"/>
          <w:divBdr>
            <w:top w:val="none" w:sz="0" w:space="0" w:color="auto"/>
            <w:left w:val="none" w:sz="0" w:space="0" w:color="auto"/>
            <w:bottom w:val="none" w:sz="0" w:space="0" w:color="auto"/>
            <w:right w:val="none" w:sz="0" w:space="0" w:color="auto"/>
          </w:divBdr>
        </w:div>
        <w:div w:id="1617323988">
          <w:marLeft w:val="0"/>
          <w:marRight w:val="0"/>
          <w:marTop w:val="0"/>
          <w:marBottom w:val="0"/>
          <w:divBdr>
            <w:top w:val="none" w:sz="0" w:space="0" w:color="auto"/>
            <w:left w:val="none" w:sz="0" w:space="0" w:color="auto"/>
            <w:bottom w:val="none" w:sz="0" w:space="0" w:color="auto"/>
            <w:right w:val="none" w:sz="0" w:space="0" w:color="auto"/>
          </w:divBdr>
        </w:div>
        <w:div w:id="1411271954">
          <w:marLeft w:val="0"/>
          <w:marRight w:val="0"/>
          <w:marTop w:val="0"/>
          <w:marBottom w:val="0"/>
          <w:divBdr>
            <w:top w:val="none" w:sz="0" w:space="0" w:color="auto"/>
            <w:left w:val="none" w:sz="0" w:space="0" w:color="auto"/>
            <w:bottom w:val="none" w:sz="0" w:space="0" w:color="auto"/>
            <w:right w:val="none" w:sz="0" w:space="0" w:color="auto"/>
          </w:divBdr>
        </w:div>
        <w:div w:id="1336541756">
          <w:marLeft w:val="0"/>
          <w:marRight w:val="0"/>
          <w:marTop w:val="0"/>
          <w:marBottom w:val="0"/>
          <w:divBdr>
            <w:top w:val="none" w:sz="0" w:space="0" w:color="auto"/>
            <w:left w:val="none" w:sz="0" w:space="0" w:color="auto"/>
            <w:bottom w:val="none" w:sz="0" w:space="0" w:color="auto"/>
            <w:right w:val="none" w:sz="0" w:space="0" w:color="auto"/>
          </w:divBdr>
        </w:div>
        <w:div w:id="824978627">
          <w:marLeft w:val="0"/>
          <w:marRight w:val="0"/>
          <w:marTop w:val="0"/>
          <w:marBottom w:val="0"/>
          <w:divBdr>
            <w:top w:val="none" w:sz="0" w:space="0" w:color="auto"/>
            <w:left w:val="none" w:sz="0" w:space="0" w:color="auto"/>
            <w:bottom w:val="none" w:sz="0" w:space="0" w:color="auto"/>
            <w:right w:val="none" w:sz="0" w:space="0" w:color="auto"/>
          </w:divBdr>
        </w:div>
        <w:div w:id="1199510020">
          <w:marLeft w:val="0"/>
          <w:marRight w:val="0"/>
          <w:marTop w:val="0"/>
          <w:marBottom w:val="0"/>
          <w:divBdr>
            <w:top w:val="none" w:sz="0" w:space="0" w:color="auto"/>
            <w:left w:val="none" w:sz="0" w:space="0" w:color="auto"/>
            <w:bottom w:val="none" w:sz="0" w:space="0" w:color="auto"/>
            <w:right w:val="none" w:sz="0" w:space="0" w:color="auto"/>
          </w:divBdr>
        </w:div>
      </w:divsChild>
    </w:div>
    <w:div w:id="145143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994</TotalTime>
  <Pages>1</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Bisi Babalola</dc:creator>
  <cp:lastModifiedBy>Bisi Babalola</cp:lastModifiedBy>
  <cp:revision>17</cp:revision>
  <dcterms:created xsi:type="dcterms:W3CDTF">2017-08-01T18:45:00Z</dcterms:created>
  <dcterms:modified xsi:type="dcterms:W3CDTF">2017-08-02T14:27:00Z</dcterms:modified>
</cp:coreProperties>
</file>